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78" w:rsidRDefault="00363178" w:rsidP="00363178">
      <w:pPr>
        <w:pStyle w:val="CRCoverPage"/>
        <w:tabs>
          <w:tab w:val="right" w:pos="9639"/>
          <w:tab w:val="right" w:pos="13323"/>
        </w:tabs>
        <w:spacing w:after="0"/>
        <w:rPr>
          <w:rFonts w:cs="Arial"/>
          <w:b/>
          <w:noProof/>
          <w:sz w:val="24"/>
          <w:szCs w:val="24"/>
        </w:rPr>
      </w:pPr>
      <w:bookmarkStart w:id="0" w:name="_GoBack"/>
      <w:bookmarkEnd w:id="0"/>
      <w:r>
        <w:rPr>
          <w:rFonts w:cs="Arial"/>
          <w:b/>
          <w:noProof/>
          <w:sz w:val="24"/>
          <w:szCs w:val="24"/>
        </w:rPr>
        <w:t xml:space="preserve">3GPP TSG </w:t>
      </w:r>
      <w:r w:rsidR="00AA43A2">
        <w:rPr>
          <w:rFonts w:cs="Arial"/>
          <w:b/>
          <w:noProof/>
          <w:sz w:val="24"/>
          <w:szCs w:val="24"/>
        </w:rPr>
        <w:t>SA3-LI</w:t>
      </w:r>
      <w:r>
        <w:rPr>
          <w:rFonts w:cs="Arial"/>
          <w:b/>
          <w:noProof/>
          <w:sz w:val="24"/>
          <w:szCs w:val="24"/>
        </w:rPr>
        <w:t xml:space="preserve"> Meeting #</w:t>
      </w:r>
      <w:r w:rsidR="00AA43A2">
        <w:rPr>
          <w:rFonts w:cs="Arial"/>
          <w:b/>
          <w:noProof/>
          <w:sz w:val="24"/>
          <w:szCs w:val="24"/>
        </w:rPr>
        <w:t>55</w:t>
      </w:r>
      <w:r>
        <w:rPr>
          <w:rFonts w:cs="Arial"/>
          <w:b/>
          <w:noProof/>
          <w:sz w:val="24"/>
          <w:szCs w:val="24"/>
        </w:rPr>
        <w:tab/>
      </w:r>
      <w:r w:rsidR="00AA43A2">
        <w:rPr>
          <w:rFonts w:cs="Arial"/>
          <w:b/>
          <w:noProof/>
          <w:sz w:val="24"/>
          <w:szCs w:val="24"/>
        </w:rPr>
        <w:t>SA3LI</w:t>
      </w:r>
      <w:r w:rsidR="008E4B00">
        <w:rPr>
          <w:rFonts w:cs="Arial"/>
          <w:b/>
          <w:noProof/>
          <w:sz w:val="24"/>
          <w:szCs w:val="24"/>
        </w:rPr>
        <w:t>14</w:t>
      </w:r>
      <w:r w:rsidR="00603903">
        <w:rPr>
          <w:rFonts w:cs="Arial"/>
          <w:b/>
          <w:noProof/>
          <w:sz w:val="24"/>
          <w:szCs w:val="24"/>
        </w:rPr>
        <w:t>-167</w:t>
      </w:r>
    </w:p>
    <w:p w:rsidR="00363178" w:rsidRDefault="00AA43A2" w:rsidP="00363178">
      <w:pPr>
        <w:pStyle w:val="CRCoverPage"/>
        <w:tabs>
          <w:tab w:val="right" w:pos="9639"/>
          <w:tab w:val="right" w:pos="13323"/>
        </w:tabs>
        <w:spacing w:after="0"/>
        <w:jc w:val="right"/>
        <w:rPr>
          <w:rFonts w:cs="Arial"/>
          <w:b/>
          <w:noProof/>
          <w:sz w:val="24"/>
          <w:szCs w:val="24"/>
        </w:rPr>
      </w:pPr>
      <w:r>
        <w:rPr>
          <w:rFonts w:cs="Arial"/>
          <w:b/>
          <w:noProof/>
          <w:sz w:val="24"/>
          <w:szCs w:val="24"/>
        </w:rPr>
        <w:t>Portland</w:t>
      </w:r>
      <w:r w:rsidR="0033775D" w:rsidRPr="0033775D">
        <w:rPr>
          <w:rFonts w:cs="Arial"/>
          <w:b/>
          <w:noProof/>
          <w:sz w:val="24"/>
          <w:szCs w:val="24"/>
        </w:rPr>
        <w:t xml:space="preserve">, </w:t>
      </w:r>
      <w:r>
        <w:rPr>
          <w:rFonts w:cs="Arial"/>
          <w:b/>
          <w:noProof/>
          <w:sz w:val="24"/>
          <w:szCs w:val="24"/>
        </w:rPr>
        <w:t>USA</w:t>
      </w:r>
      <w:r w:rsidR="0033314D">
        <w:rPr>
          <w:rFonts w:cs="Arial"/>
          <w:b/>
          <w:noProof/>
          <w:sz w:val="24"/>
          <w:szCs w:val="24"/>
        </w:rPr>
        <w:t xml:space="preserve">, </w:t>
      </w:r>
      <w:r>
        <w:rPr>
          <w:rFonts w:cs="Arial"/>
          <w:b/>
          <w:noProof/>
          <w:sz w:val="24"/>
          <w:szCs w:val="24"/>
        </w:rPr>
        <w:t>28</w:t>
      </w:r>
      <w:r w:rsidRPr="00AA43A2">
        <w:rPr>
          <w:rFonts w:cs="Arial"/>
          <w:b/>
          <w:noProof/>
          <w:sz w:val="24"/>
          <w:szCs w:val="24"/>
          <w:vertAlign w:val="superscript"/>
        </w:rPr>
        <w:t>th</w:t>
      </w:r>
      <w:r>
        <w:rPr>
          <w:rFonts w:cs="Arial"/>
          <w:b/>
          <w:noProof/>
          <w:sz w:val="24"/>
          <w:szCs w:val="24"/>
        </w:rPr>
        <w:t xml:space="preserve"> – 30</w:t>
      </w:r>
      <w:r w:rsidRPr="00AA43A2">
        <w:rPr>
          <w:rFonts w:cs="Arial"/>
          <w:b/>
          <w:noProof/>
          <w:sz w:val="24"/>
          <w:szCs w:val="24"/>
          <w:vertAlign w:val="superscript"/>
        </w:rPr>
        <w:t>th</w:t>
      </w:r>
      <w:r>
        <w:rPr>
          <w:rFonts w:cs="Arial"/>
          <w:b/>
          <w:noProof/>
          <w:sz w:val="24"/>
          <w:szCs w:val="24"/>
        </w:rPr>
        <w:t xml:space="preserve"> October</w:t>
      </w:r>
      <w:r w:rsidR="00795953" w:rsidRPr="00795953">
        <w:rPr>
          <w:rFonts w:cs="Arial"/>
          <w:b/>
          <w:noProof/>
          <w:sz w:val="24"/>
          <w:szCs w:val="24"/>
        </w:rPr>
        <w:t>, 2014</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68226B" w:rsidRPr="00155924" w:rsidRDefault="0068226B" w:rsidP="00AB45E1">
      <w:pPr>
        <w:pStyle w:val="Footer"/>
        <w:jc w:val="both"/>
        <w:rPr>
          <w:noProof w:val="0"/>
          <w:lang w:val="en-GB"/>
        </w:rPr>
      </w:pP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Pr="00474F96">
        <w:rPr>
          <w:rFonts w:ascii="Arial" w:hAnsi="Arial"/>
          <w:sz w:val="22"/>
        </w:rPr>
        <w:tab/>
      </w:r>
      <w:r w:rsidR="001816D0" w:rsidRPr="001816D0">
        <w:rPr>
          <w:rFonts w:ascii="Arial" w:hAnsi="Arial"/>
          <w:sz w:val="24"/>
          <w:szCs w:val="24"/>
        </w:rPr>
        <w:t>Impact on Lawful Interception of Mobile Edge Computing</w:t>
      </w:r>
    </w:p>
    <w:p w:rsidR="0068226B" w:rsidRPr="0033314D" w:rsidRDefault="0068226B" w:rsidP="0033314D">
      <w:pPr>
        <w:tabs>
          <w:tab w:val="left" w:pos="1985"/>
        </w:tabs>
        <w:ind w:left="1980" w:hanging="1980"/>
        <w:jc w:val="both"/>
        <w:rPr>
          <w:rFonts w:ascii="Arial" w:hAnsi="Arial"/>
          <w:sz w:val="24"/>
          <w:lang w:val="es-ES"/>
        </w:rPr>
      </w:pPr>
      <w:proofErr w:type="spellStart"/>
      <w:r w:rsidRPr="0033314D">
        <w:rPr>
          <w:rFonts w:ascii="Arial" w:hAnsi="Arial"/>
          <w:b/>
          <w:sz w:val="24"/>
          <w:lang w:val="es-ES"/>
        </w:rPr>
        <w:t>Source</w:t>
      </w:r>
      <w:proofErr w:type="spellEnd"/>
      <w:r w:rsidRPr="0033314D">
        <w:rPr>
          <w:rFonts w:ascii="Arial" w:hAnsi="Arial"/>
          <w:b/>
          <w:sz w:val="24"/>
          <w:lang w:val="es-ES"/>
        </w:rPr>
        <w:t xml:space="preserve">: </w:t>
      </w:r>
      <w:r w:rsidRPr="0033314D">
        <w:rPr>
          <w:rFonts w:ascii="Arial" w:hAnsi="Arial"/>
          <w:b/>
          <w:sz w:val="24"/>
          <w:lang w:val="es-ES"/>
        </w:rPr>
        <w:tab/>
      </w:r>
      <w:r w:rsidR="000F4F3D" w:rsidRPr="0033314D">
        <w:rPr>
          <w:rFonts w:ascii="Arial" w:hAnsi="Arial"/>
          <w:sz w:val="24"/>
          <w:lang w:val="es-ES"/>
        </w:rPr>
        <w:t>Vodafone</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1816D0">
        <w:rPr>
          <w:rFonts w:ascii="Arial" w:hAnsi="Arial"/>
          <w:sz w:val="24"/>
        </w:rPr>
        <w:t>[</w:t>
      </w:r>
      <w:r w:rsidR="008B769D">
        <w:rPr>
          <w:rFonts w:ascii="Arial" w:hAnsi="Arial"/>
          <w:sz w:val="24"/>
        </w:rPr>
        <w:t>Approval</w:t>
      </w:r>
      <w:r w:rsidR="001816D0">
        <w:rPr>
          <w:rFonts w:ascii="Arial" w:hAnsi="Arial"/>
          <w:sz w:val="24"/>
        </w:rPr>
        <w:t>]</w:t>
      </w:r>
    </w:p>
    <w:p w:rsidR="00C34C05" w:rsidRDefault="00F25CB7" w:rsidP="00AB45E1">
      <w:pPr>
        <w:pStyle w:val="Heading1"/>
        <w:jc w:val="both"/>
      </w:pPr>
      <w:r>
        <w:t>1</w:t>
      </w:r>
      <w:r>
        <w:tab/>
      </w:r>
      <w:r w:rsidR="001816D0">
        <w:t>Introduction</w:t>
      </w:r>
    </w:p>
    <w:p w:rsidR="001816D0" w:rsidRPr="001816D0" w:rsidRDefault="001816D0" w:rsidP="001816D0">
      <w:pPr>
        <w:rPr>
          <w:b/>
          <w:u w:val="single"/>
        </w:rPr>
      </w:pPr>
      <w:r>
        <w:rPr>
          <w:b/>
          <w:u w:val="single"/>
        </w:rPr>
        <w:t>What is Mobile Edge Computing</w:t>
      </w:r>
      <w:r w:rsidRPr="001816D0">
        <w:rPr>
          <w:b/>
          <w:u w:val="single"/>
        </w:rPr>
        <w:t>?</w:t>
      </w:r>
    </w:p>
    <w:p w:rsidR="001816D0" w:rsidRDefault="001816D0" w:rsidP="001816D0">
      <w:pPr>
        <w:jc w:val="both"/>
      </w:pPr>
      <w:r>
        <w:t>Mobile-edge Computing offers application developers and content providers cloud-computing capabilities and an IT service environment at the edge of the mobile network. This environment is characterized by ultra-low latency and high bandwidth as well as real-time access to radio network information that can be leveraged by applications.</w:t>
      </w:r>
    </w:p>
    <w:p w:rsidR="001816D0" w:rsidRDefault="001816D0" w:rsidP="001816D0">
      <w:pPr>
        <w:jc w:val="both"/>
      </w:pPr>
      <w:r>
        <w:t xml:space="preserve">MEC provides a new ecosystem and value chain. Operators can open their Radio Access Network (RAN) edge to third-parties, allowing them to rapidly deploy innovative applications and services towards mobile subscribers, enterprises and vertical segments and to shorten deployment cycles. Proximity, context, agility (for network, services, business models etc.), rapid response time and speed can be translated into value and can be leveraged by mobile operators, network equipment vendors, and third-parties, enabling them to play complementary and profitable roles within their respective business models and allowing them to monetize the mobile broadband experience. </w:t>
      </w:r>
    </w:p>
    <w:p w:rsidR="001816D0" w:rsidRPr="001816D0" w:rsidRDefault="001816D0" w:rsidP="001816D0">
      <w:pPr>
        <w:rPr>
          <w:b/>
          <w:u w:val="single"/>
        </w:rPr>
      </w:pPr>
      <w:r w:rsidRPr="001816D0">
        <w:rPr>
          <w:b/>
          <w:u w:val="single"/>
        </w:rPr>
        <w:t xml:space="preserve">Strategic relevance of MEC </w:t>
      </w:r>
    </w:p>
    <w:p w:rsidR="001816D0" w:rsidRDefault="001816D0" w:rsidP="001816D0">
      <w:pPr>
        <w:jc w:val="both"/>
      </w:pPr>
      <w:r>
        <w:t xml:space="preserve">MEC is a natural development in the evolution of mobile base stations and the convergence of IT and telecommunications networking. </w:t>
      </w:r>
    </w:p>
    <w:p w:rsidR="001816D0" w:rsidRPr="001816D0" w:rsidRDefault="001816D0" w:rsidP="001816D0">
      <w:pPr>
        <w:jc w:val="both"/>
      </w:pPr>
      <w:r>
        <w:t>Mobile-edge Computing will enable new services for consumers and the enterprise and vertical business segments as well as new use cases, e.g. in M2M (e.g. video analytics, device location tracking), Retail (e.g. with augmented reality) and content distribution (RAN-aware content optimization either by the operator or a CDN provider with content-caching at the edge). It uniquely allows software applications to tap into local content and real-time information about local-access network conditions. MEC draws us closer to distributed Cloud Computing, where distribution into radio access networks is motivated by the potential for new service categories, improved user experiences and new business models. By deploying various services and content at the network edge, Mobile network cores are alleviated of further congestion and better serve a particular locality without the need to store locally relevant data within remote cloud functionality. The MEC platform architecture is cognizant of operator initiatives to streamline data-centre management and to provision flexible computing resource allocation for services and content provision. Wider, future deployments of fibre to base stations will likely influence how content and application code is allocated to the edge and tier 1 data centres but won’t negate the case for MEC to achieve ultra-low latency in face of unavoidable message round trips due to signalling and handshaking.</w:t>
      </w:r>
    </w:p>
    <w:p w:rsidR="00D8778A" w:rsidRPr="00BF4B69" w:rsidRDefault="00D04C29" w:rsidP="00AB45E1">
      <w:pPr>
        <w:pStyle w:val="Heading1"/>
        <w:jc w:val="both"/>
      </w:pPr>
      <w:r>
        <w:t>2</w:t>
      </w:r>
      <w:r>
        <w:tab/>
      </w:r>
      <w:r w:rsidR="005274EA" w:rsidRPr="005274EA">
        <w:t>MEC Industry Standardisation</w:t>
      </w:r>
    </w:p>
    <w:p w:rsidR="00BD653B" w:rsidRPr="005274EA" w:rsidRDefault="005274EA" w:rsidP="00C518CB">
      <w:pPr>
        <w:pStyle w:val="Header"/>
        <w:jc w:val="both"/>
        <w:rPr>
          <w:rFonts w:ascii="Times New Roman" w:hAnsi="Times New Roman"/>
          <w:b w:val="0"/>
          <w:noProof w:val="0"/>
          <w:sz w:val="20"/>
          <w:lang w:val="en-GB"/>
        </w:rPr>
      </w:pPr>
      <w:r w:rsidRPr="005274EA">
        <w:rPr>
          <w:rFonts w:ascii="Times New Roman" w:hAnsi="Times New Roman"/>
          <w:b w:val="0"/>
          <w:noProof w:val="0"/>
          <w:sz w:val="20"/>
          <w:lang w:val="en-GB"/>
        </w:rPr>
        <w:t>ETSI has set-up an Industry Specification Group (ISG) on MEC [1] with Vodafone, NTT DOCOMO, Nokia Networks, Huawei, Intel and IBM as founding members. The purpose of the ISG is to create a standardized, open environment which will allow the efficient and seamless integration of applications from vendors, service providers, and 3rd parties across multi-vendor Mobile-edge Computing platforms.  An associated whitepaper [2] presents the architectural blueprint that forms the basis for the work in the ISG and the scope of the first release. It includes the requirements and the architecture of the MEC Application Platform as well as open APIs and interfaces that provide the players in the value chain with the opportunity to differentiate and create value in a multi-vendor mobile environment</w:t>
      </w:r>
      <w:r w:rsidR="00DD3132" w:rsidRPr="005274EA">
        <w:rPr>
          <w:rFonts w:ascii="Times New Roman" w:hAnsi="Times New Roman"/>
          <w:b w:val="0"/>
          <w:noProof w:val="0"/>
          <w:sz w:val="20"/>
          <w:lang w:val="en-GB"/>
        </w:rPr>
        <w:t>.</w:t>
      </w:r>
    </w:p>
    <w:p w:rsidR="00581B54" w:rsidRDefault="00581B54" w:rsidP="00581B54">
      <w:pPr>
        <w:pStyle w:val="Heading1"/>
      </w:pPr>
      <w:r>
        <w:lastRenderedPageBreak/>
        <w:t>3</w:t>
      </w:r>
      <w:r>
        <w:tab/>
      </w:r>
      <w:r w:rsidR="005274EA" w:rsidRPr="005274EA">
        <w:t>Implications for Lawful Interception</w:t>
      </w:r>
    </w:p>
    <w:p w:rsidR="005274EA" w:rsidRDefault="005274EA" w:rsidP="005274EA">
      <w:pPr>
        <w:overflowPunct/>
        <w:autoSpaceDE/>
        <w:autoSpaceDN/>
        <w:adjustRightInd/>
        <w:spacing w:before="240" w:after="0"/>
        <w:jc w:val="both"/>
        <w:textAlignment w:val="auto"/>
      </w:pPr>
      <w:r>
        <w:t>Mobile Network Operators deploying MEC will need to continue to support Lawful Interception capability when delivering data services via MEC to end users in line with the legal and regulatory obligations in their territories in which they operate.</w:t>
      </w:r>
    </w:p>
    <w:p w:rsidR="005274EA" w:rsidRDefault="005274EA" w:rsidP="005274EA">
      <w:pPr>
        <w:overflowPunct/>
        <w:autoSpaceDE/>
        <w:autoSpaceDN/>
        <w:adjustRightInd/>
        <w:spacing w:before="240" w:after="0"/>
        <w:jc w:val="both"/>
        <w:textAlignment w:val="auto"/>
      </w:pPr>
      <w:r>
        <w:t>Considering a LTE network, the Lawful Interception point is typically located at the P-GW and/or S-GW in the core network of an operator’s network.  Where traffic is generated, modified or stored at a MEC platform located deeper into an operator’s network then such traffic would not be available at these Lawful Interception points.</w:t>
      </w:r>
    </w:p>
    <w:p w:rsidR="00DD3132" w:rsidRPr="00BC462F" w:rsidRDefault="005274EA" w:rsidP="005274EA">
      <w:pPr>
        <w:overflowPunct/>
        <w:autoSpaceDE/>
        <w:autoSpaceDN/>
        <w:adjustRightInd/>
        <w:spacing w:before="240" w:after="0"/>
        <w:jc w:val="both"/>
        <w:textAlignment w:val="auto"/>
        <w:rPr>
          <w:color w:val="000000" w:themeColor="text1"/>
        </w:rPr>
      </w:pPr>
      <w:r>
        <w:t xml:space="preserve">A key requirement for many operators, when considering how to manage LI in a MEC deployment, is that historically for security reasons no LI functionality is permitted in the Radio Access Network (RAN) and nothing shall be done elsewhere in the network that would permit LI targets to be identified by observing the traffic passing through a RAN node (such as MEC platform located at the </w:t>
      </w:r>
      <w:proofErr w:type="spellStart"/>
      <w:r>
        <w:t>eNodeB</w:t>
      </w:r>
      <w:proofErr w:type="spellEnd"/>
      <w:r>
        <w:t>)</w:t>
      </w:r>
      <w:r w:rsidR="008C55A8">
        <w:t>, i.e</w:t>
      </w:r>
      <w:r w:rsidR="008C55A8" w:rsidRPr="00BC462F">
        <w:rPr>
          <w:color w:val="000000" w:themeColor="text1"/>
        </w:rPr>
        <w:t>. we have to ensure we don’t treat the target differently than a normal user in an identifiable manner.</w:t>
      </w:r>
    </w:p>
    <w:p w:rsidR="00BC462F" w:rsidRDefault="00BC462F" w:rsidP="00BC462F">
      <w:pPr>
        <w:spacing w:after="0"/>
      </w:pPr>
    </w:p>
    <w:p w:rsidR="00E9147C" w:rsidRPr="00BC462F" w:rsidRDefault="008C55A8" w:rsidP="00E9147C">
      <w:r w:rsidRPr="00BC462F">
        <w:t>The following s</w:t>
      </w:r>
      <w:r w:rsidR="00E9147C" w:rsidRPr="00BC462F">
        <w:t xml:space="preserve">ecurity </w:t>
      </w:r>
      <w:r w:rsidRPr="00BC462F">
        <w:t>r</w:t>
      </w:r>
      <w:r w:rsidR="00E9147C" w:rsidRPr="00BC462F">
        <w:t>equirements</w:t>
      </w:r>
      <w:r w:rsidRPr="00BC462F">
        <w:t xml:space="preserve"> shall be fulfilled:</w:t>
      </w:r>
    </w:p>
    <w:p w:rsidR="00E9147C" w:rsidRPr="00BC462F" w:rsidRDefault="00E9147C" w:rsidP="00E9147C">
      <w:pPr>
        <w:pStyle w:val="ListParagraph"/>
        <w:numPr>
          <w:ilvl w:val="0"/>
          <w:numId w:val="15"/>
        </w:numPr>
        <w:rPr>
          <w:rFonts w:ascii="Times New Roman" w:hAnsi="Times New Roman" w:cs="Times New Roman"/>
          <w:sz w:val="20"/>
          <w:szCs w:val="20"/>
        </w:rPr>
      </w:pPr>
      <w:r w:rsidRPr="00BC462F">
        <w:rPr>
          <w:rFonts w:ascii="Times New Roman" w:hAnsi="Times New Roman" w:cs="Times New Roman"/>
          <w:sz w:val="20"/>
          <w:szCs w:val="20"/>
        </w:rPr>
        <w:t>Target dynamically – only the target attached to the MEC element shall have its selector transmitted in order to reduce the risk of exposure. It is possible to reduce risk by only using selectors for active users.</w:t>
      </w:r>
    </w:p>
    <w:p w:rsidR="00E9147C" w:rsidRPr="00BC462F" w:rsidRDefault="00E9147C" w:rsidP="00E9147C">
      <w:pPr>
        <w:pStyle w:val="ListParagraph"/>
        <w:numPr>
          <w:ilvl w:val="0"/>
          <w:numId w:val="15"/>
        </w:numPr>
        <w:rPr>
          <w:rFonts w:ascii="Times New Roman" w:hAnsi="Times New Roman" w:cs="Times New Roman"/>
          <w:sz w:val="20"/>
          <w:szCs w:val="20"/>
        </w:rPr>
      </w:pPr>
      <w:r w:rsidRPr="00BC462F">
        <w:rPr>
          <w:rFonts w:ascii="Times New Roman" w:hAnsi="Times New Roman" w:cs="Times New Roman"/>
          <w:sz w:val="20"/>
          <w:szCs w:val="20"/>
        </w:rPr>
        <w:t xml:space="preserve">Don’t store selectors on the </w:t>
      </w:r>
      <w:r w:rsidR="008C55A8" w:rsidRPr="00BC462F">
        <w:rPr>
          <w:rFonts w:ascii="Times New Roman" w:hAnsi="Times New Roman" w:cs="Times New Roman"/>
          <w:sz w:val="20"/>
          <w:szCs w:val="20"/>
        </w:rPr>
        <w:t>MEC element</w:t>
      </w:r>
      <w:r w:rsidRPr="00BC462F">
        <w:rPr>
          <w:rFonts w:ascii="Times New Roman" w:hAnsi="Times New Roman" w:cs="Times New Roman"/>
          <w:sz w:val="20"/>
          <w:szCs w:val="20"/>
        </w:rPr>
        <w:t xml:space="preserve">. </w:t>
      </w:r>
    </w:p>
    <w:p w:rsidR="00E9147C" w:rsidRPr="00BC462F" w:rsidRDefault="00E9147C" w:rsidP="008C55A8">
      <w:pPr>
        <w:pStyle w:val="ListParagraph"/>
        <w:numPr>
          <w:ilvl w:val="0"/>
          <w:numId w:val="15"/>
        </w:numPr>
        <w:rPr>
          <w:rFonts w:ascii="Times New Roman" w:hAnsi="Times New Roman" w:cs="Times New Roman"/>
          <w:sz w:val="20"/>
          <w:szCs w:val="20"/>
        </w:rPr>
      </w:pPr>
      <w:r w:rsidRPr="00BC462F">
        <w:rPr>
          <w:rFonts w:ascii="Times New Roman" w:hAnsi="Times New Roman" w:cs="Times New Roman"/>
          <w:sz w:val="20"/>
          <w:szCs w:val="20"/>
        </w:rPr>
        <w:t xml:space="preserve">Inference attack. </w:t>
      </w:r>
      <w:r w:rsidR="008C55A8" w:rsidRPr="00BC462F">
        <w:rPr>
          <w:rFonts w:ascii="Times New Roman" w:hAnsi="Times New Roman" w:cs="Times New Roman"/>
          <w:sz w:val="20"/>
          <w:szCs w:val="20"/>
        </w:rPr>
        <w:t>Risk</w:t>
      </w:r>
      <w:r w:rsidRPr="00BC462F">
        <w:rPr>
          <w:rFonts w:ascii="Times New Roman" w:hAnsi="Times New Roman" w:cs="Times New Roman"/>
          <w:sz w:val="20"/>
          <w:szCs w:val="20"/>
        </w:rPr>
        <w:t xml:space="preserve"> to be </w:t>
      </w:r>
      <w:proofErr w:type="spellStart"/>
      <w:r w:rsidRPr="00BC462F">
        <w:rPr>
          <w:rFonts w:ascii="Times New Roman" w:hAnsi="Times New Roman" w:cs="Times New Roman"/>
          <w:sz w:val="20"/>
          <w:szCs w:val="20"/>
        </w:rPr>
        <w:t>quantifiedTrust</w:t>
      </w:r>
      <w:proofErr w:type="spellEnd"/>
      <w:r w:rsidRPr="00BC462F">
        <w:rPr>
          <w:rFonts w:ascii="Times New Roman" w:hAnsi="Times New Roman" w:cs="Times New Roman"/>
          <w:sz w:val="20"/>
          <w:szCs w:val="20"/>
        </w:rPr>
        <w:t xml:space="preserve"> must be established between the </w:t>
      </w:r>
      <w:r w:rsidR="008C55A8" w:rsidRPr="00BC462F">
        <w:rPr>
          <w:rFonts w:ascii="Times New Roman" w:hAnsi="Times New Roman" w:cs="Times New Roman"/>
          <w:sz w:val="20"/>
          <w:szCs w:val="20"/>
        </w:rPr>
        <w:t>MEC element</w:t>
      </w:r>
      <w:r w:rsidRPr="00BC462F">
        <w:rPr>
          <w:rFonts w:ascii="Times New Roman" w:hAnsi="Times New Roman" w:cs="Times New Roman"/>
          <w:sz w:val="20"/>
          <w:szCs w:val="20"/>
        </w:rPr>
        <w:t xml:space="preserve"> and the network</w:t>
      </w:r>
    </w:p>
    <w:p w:rsidR="005274EA" w:rsidRPr="005274EA" w:rsidRDefault="005274EA" w:rsidP="005274EA">
      <w:pPr>
        <w:pStyle w:val="Heading1"/>
        <w:rPr>
          <w:lang w:val="en-US"/>
        </w:rPr>
      </w:pPr>
      <w:r>
        <w:t>4</w:t>
      </w:r>
      <w:r>
        <w:tab/>
      </w:r>
      <w:r w:rsidRPr="005274EA">
        <w:t>P</w:t>
      </w:r>
      <w:r>
        <w:t>roposed</w:t>
      </w:r>
      <w:r w:rsidRPr="005274EA">
        <w:t xml:space="preserve"> solution to support LI for MEC</w:t>
      </w:r>
    </w:p>
    <w:p w:rsidR="005274EA" w:rsidRDefault="005274EA" w:rsidP="00BC462F">
      <w:pPr>
        <w:overflowPunct/>
        <w:autoSpaceDE/>
        <w:autoSpaceDN/>
        <w:adjustRightInd/>
        <w:spacing w:after="0"/>
        <w:jc w:val="both"/>
        <w:textAlignment w:val="auto"/>
      </w:pPr>
      <w:r w:rsidRPr="005274EA">
        <w:t xml:space="preserve">As it is not permitted to introduce LI capabilities directly at an </w:t>
      </w:r>
      <w:proofErr w:type="spellStart"/>
      <w:r w:rsidRPr="005274EA">
        <w:t>eNB</w:t>
      </w:r>
      <w:proofErr w:type="spellEnd"/>
      <w:r w:rsidRPr="005274EA">
        <w:t xml:space="preserve">, it is necessary to copy uplink and downlink user traffic for </w:t>
      </w:r>
      <w:r w:rsidRPr="005274EA">
        <w:rPr>
          <w:u w:val="single"/>
        </w:rPr>
        <w:t xml:space="preserve">content generated (e.g. content locally available at the edge), modified (e.g. optimisation or enhancing of content at the edge) or terminated (e.g. at a hosted application) </w:t>
      </w:r>
      <w:r w:rsidRPr="005274EA">
        <w:t>on the MEC Platform to the core network for processing by the existing LI systems. For content or user traffic that follows the usual flow (i.e. not generated, modified or terminated by the MEC platform), this would not need to be copied back to the core network.</w:t>
      </w:r>
    </w:p>
    <w:p w:rsidR="005274EA" w:rsidRPr="005274EA" w:rsidRDefault="005274EA" w:rsidP="00BC462F">
      <w:pPr>
        <w:overflowPunct/>
        <w:autoSpaceDE/>
        <w:autoSpaceDN/>
        <w:adjustRightInd/>
        <w:spacing w:after="0"/>
        <w:jc w:val="both"/>
        <w:textAlignment w:val="auto"/>
      </w:pPr>
    </w:p>
    <w:p w:rsidR="005274EA" w:rsidRPr="005274EA" w:rsidRDefault="005274EA" w:rsidP="00BC462F">
      <w:pPr>
        <w:overflowPunct/>
        <w:autoSpaceDE/>
        <w:autoSpaceDN/>
        <w:adjustRightInd/>
        <w:spacing w:after="0"/>
        <w:jc w:val="both"/>
        <w:textAlignment w:val="auto"/>
      </w:pPr>
      <w:r w:rsidRPr="005274EA">
        <w:t xml:space="preserve">Copy functionality, introduced on the </w:t>
      </w:r>
      <w:r w:rsidRPr="005274EA">
        <w:rPr>
          <w:b/>
        </w:rPr>
        <w:t>MEC Platform,</w:t>
      </w:r>
      <w:r w:rsidRPr="005274EA">
        <w:t xml:space="preserve"> is responsible for copying the associated uplink and downlink user traffic and injecting them into the uplink GTP-U session of the associated User/radio access bearer.  Additional information is added within the GTP-U frame to distinguish these from normal User uplink traffic.</w:t>
      </w:r>
    </w:p>
    <w:p w:rsidR="005274EA" w:rsidRDefault="005274EA" w:rsidP="00BC462F">
      <w:pPr>
        <w:overflowPunct/>
        <w:autoSpaceDE/>
        <w:autoSpaceDN/>
        <w:adjustRightInd/>
        <w:spacing w:after="0"/>
        <w:jc w:val="both"/>
        <w:textAlignment w:val="auto"/>
      </w:pPr>
    </w:p>
    <w:p w:rsidR="005274EA" w:rsidRPr="005274EA" w:rsidRDefault="005274EA" w:rsidP="00BC462F">
      <w:pPr>
        <w:overflowPunct/>
        <w:autoSpaceDE/>
        <w:autoSpaceDN/>
        <w:adjustRightInd/>
        <w:spacing w:after="0"/>
        <w:jc w:val="both"/>
        <w:textAlignment w:val="auto"/>
      </w:pPr>
      <w:r w:rsidRPr="005274EA">
        <w:t xml:space="preserve">The Copy functionality added to </w:t>
      </w:r>
      <w:proofErr w:type="gramStart"/>
      <w:r w:rsidRPr="005274EA">
        <w:t>a</w:t>
      </w:r>
      <w:proofErr w:type="gramEnd"/>
      <w:r w:rsidRPr="005274EA">
        <w:t xml:space="preserve"> </w:t>
      </w:r>
      <w:r w:rsidRPr="005274EA">
        <w:rPr>
          <w:b/>
        </w:rPr>
        <w:t xml:space="preserve">S-GW </w:t>
      </w:r>
      <w:r w:rsidRPr="005274EA">
        <w:t xml:space="preserve">and/or </w:t>
      </w:r>
      <w:r w:rsidRPr="005274EA">
        <w:rPr>
          <w:b/>
        </w:rPr>
        <w:t>P-GW</w:t>
      </w:r>
      <w:r w:rsidRPr="005274EA">
        <w:t xml:space="preserve"> retrieves the copied data from the GTP-U session for use by the LI system.  The additional information included within the GTP-U frame instructs MEC related functions on the S-GW and/or P-GW to handle the packets accordingly and discard them after processing by the LI system. Appendix A shows the flow for this methodology.</w:t>
      </w:r>
    </w:p>
    <w:p w:rsidR="005274EA" w:rsidRDefault="005274EA" w:rsidP="00BC462F">
      <w:pPr>
        <w:overflowPunct/>
        <w:autoSpaceDE/>
        <w:autoSpaceDN/>
        <w:adjustRightInd/>
        <w:spacing w:after="0"/>
        <w:jc w:val="both"/>
        <w:textAlignment w:val="auto"/>
      </w:pPr>
    </w:p>
    <w:p w:rsidR="005274EA" w:rsidRPr="005274EA" w:rsidRDefault="005274EA" w:rsidP="005274EA">
      <w:pPr>
        <w:overflowPunct/>
        <w:autoSpaceDE/>
        <w:autoSpaceDN/>
        <w:adjustRightInd/>
        <w:spacing w:after="0"/>
        <w:textAlignment w:val="auto"/>
      </w:pPr>
    </w:p>
    <w:p w:rsidR="005274EA" w:rsidRDefault="005274EA" w:rsidP="005274EA">
      <w:pPr>
        <w:overflowPunct/>
        <w:autoSpaceDE/>
        <w:autoSpaceDN/>
        <w:adjustRightInd/>
        <w:spacing w:after="0"/>
        <w:jc w:val="center"/>
        <w:textAlignment w:val="auto"/>
      </w:pPr>
      <w:r w:rsidRPr="005274EA">
        <w:rPr>
          <w:noProof/>
          <w:lang w:eastAsia="en-GB"/>
        </w:rPr>
        <mc:AlternateContent>
          <mc:Choice Requires="wps">
            <w:drawing>
              <wp:anchor distT="0" distB="0" distL="114300" distR="114300" simplePos="0" relativeHeight="251659264" behindDoc="0" locked="0" layoutInCell="1" allowOverlap="1" wp14:anchorId="373AA754" wp14:editId="60321EBA">
                <wp:simplePos x="0" y="0"/>
                <wp:positionH relativeFrom="column">
                  <wp:posOffset>3718754</wp:posOffset>
                </wp:positionH>
                <wp:positionV relativeFrom="paragraph">
                  <wp:posOffset>1013460</wp:posOffset>
                </wp:positionV>
                <wp:extent cx="1865072" cy="687629"/>
                <wp:effectExtent l="0" t="0" r="190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5072" cy="687629"/>
                        </a:xfrm>
                        <a:prstGeom prst="rect">
                          <a:avLst/>
                        </a:prstGeom>
                        <a:solidFill>
                          <a:srgbClr val="FFFFFF"/>
                        </a:solidFill>
                        <a:ln w="9525">
                          <a:noFill/>
                          <a:miter lim="800000"/>
                          <a:headEnd/>
                          <a:tailEnd/>
                        </a:ln>
                      </wps:spPr>
                      <wps:txbx>
                        <w:txbxContent>
                          <w:p w:rsidR="005274EA" w:rsidRPr="0088116C" w:rsidRDefault="005274EA" w:rsidP="005274EA">
                            <w:pPr>
                              <w:pStyle w:val="ListParagraph"/>
                              <w:numPr>
                                <w:ilvl w:val="0"/>
                                <w:numId w:val="11"/>
                              </w:numPr>
                              <w:ind w:left="284" w:hanging="142"/>
                              <w:rPr>
                                <w:sz w:val="20"/>
                              </w:rPr>
                            </w:pPr>
                            <w:r w:rsidRPr="0088116C">
                              <w:rPr>
                                <w:sz w:val="20"/>
                              </w:rPr>
                              <w:t>No new interfaces</w:t>
                            </w:r>
                          </w:p>
                          <w:p w:rsidR="005274EA" w:rsidRPr="0088116C" w:rsidRDefault="005274EA" w:rsidP="005274EA">
                            <w:pPr>
                              <w:pStyle w:val="ListParagraph"/>
                              <w:numPr>
                                <w:ilvl w:val="0"/>
                                <w:numId w:val="11"/>
                              </w:numPr>
                              <w:ind w:left="284" w:hanging="142"/>
                              <w:rPr>
                                <w:sz w:val="20"/>
                              </w:rPr>
                            </w:pPr>
                            <w:r w:rsidRPr="0088116C">
                              <w:rPr>
                                <w:sz w:val="20"/>
                              </w:rPr>
                              <w:t>User traffic from MEC platform copied into S1-u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92.8pt;margin-top:79.8pt;width:146.85pt;height:5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" stroked="f">
                <v:textbox>
                  <w:txbxContent>
                    <w:p w:rsidR="005274EA" w:rsidRPr="0088116C" w:rsidRDefault="005274EA" w:rsidP="005274EA">
                      <w:pPr>
                        <w:pStyle w:val="ListParagraph"/>
                        <w:numPr>
                          <w:ilvl w:val="0"/>
                          <w:numId w:val="11"/>
                        </w:numPr>
                        <w:ind w:left="284" w:hanging="142"/>
                        <w:rPr>
                          <w:sz w:val="20"/>
                        </w:rPr>
                      </w:pPr>
                      <w:r w:rsidRPr="0088116C">
                        <w:rPr>
                          <w:sz w:val="20"/>
                        </w:rPr>
                        <w:t>No new interfaces</w:t>
                      </w:r>
                    </w:p>
                    <w:p w:rsidR="005274EA" w:rsidRPr="0088116C" w:rsidRDefault="005274EA" w:rsidP="005274EA">
                      <w:pPr>
                        <w:pStyle w:val="ListParagraph"/>
                        <w:numPr>
                          <w:ilvl w:val="0"/>
                          <w:numId w:val="11"/>
                        </w:numPr>
                        <w:ind w:left="284" w:hanging="142"/>
                        <w:rPr>
                          <w:sz w:val="20"/>
                        </w:rPr>
                      </w:pPr>
                      <w:r w:rsidRPr="0088116C">
                        <w:rPr>
                          <w:sz w:val="20"/>
                        </w:rPr>
                        <w:t>User traffic from MEC platform copied into S1-u</w:t>
                      </w:r>
                    </w:p>
                  </w:txbxContent>
                </v:textbox>
              </v:shape>
            </w:pict>
          </mc:Fallback>
        </mc:AlternateContent>
      </w:r>
      <w:r w:rsidRPr="005274EA">
        <w:rPr>
          <w:noProof/>
          <w:lang w:eastAsia="en-GB"/>
        </w:rPr>
        <w:drawing>
          <wp:inline distT="0" distB="0" distL="0" distR="0" wp14:anchorId="7DD19DE8" wp14:editId="6DA3D367">
            <wp:extent cx="1123296" cy="24797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4992" cy="2483474"/>
                    </a:xfrm>
                    <a:prstGeom prst="rect">
                      <a:avLst/>
                    </a:prstGeom>
                    <a:noFill/>
                  </pic:spPr>
                </pic:pic>
              </a:graphicData>
            </a:graphic>
          </wp:inline>
        </w:drawing>
      </w:r>
    </w:p>
    <w:p w:rsidR="005274EA" w:rsidRPr="005274EA" w:rsidRDefault="005274EA" w:rsidP="005274EA">
      <w:pPr>
        <w:overflowPunct/>
        <w:autoSpaceDE/>
        <w:autoSpaceDN/>
        <w:adjustRightInd/>
        <w:spacing w:after="0"/>
        <w:jc w:val="center"/>
        <w:textAlignment w:val="auto"/>
      </w:pPr>
    </w:p>
    <w:p w:rsidR="005274EA" w:rsidRPr="005274EA" w:rsidRDefault="005274EA" w:rsidP="005274EA">
      <w:pPr>
        <w:overflowPunct/>
        <w:autoSpaceDE/>
        <w:autoSpaceDN/>
        <w:adjustRightInd/>
        <w:spacing w:after="0"/>
        <w:jc w:val="center"/>
        <w:textAlignment w:val="auto"/>
        <w:rPr>
          <w:b/>
        </w:rPr>
      </w:pPr>
      <w:r w:rsidRPr="005274EA">
        <w:rPr>
          <w:b/>
        </w:rPr>
        <w:lastRenderedPageBreak/>
        <w:t>Figure 1: Architecture for LI solution for Mobile Edge Computing</w:t>
      </w:r>
    </w:p>
    <w:p w:rsidR="00036BE4" w:rsidRDefault="00036BE4" w:rsidP="00BC462F">
      <w:pPr>
        <w:overflowPunct/>
        <w:autoSpaceDE/>
        <w:autoSpaceDN/>
        <w:adjustRightInd/>
        <w:spacing w:after="0"/>
        <w:jc w:val="both"/>
        <w:textAlignment w:val="auto"/>
        <w:rPr>
          <w:highlight w:val="yellow"/>
        </w:rPr>
      </w:pPr>
    </w:p>
    <w:p w:rsidR="00BC462F" w:rsidRPr="005274EA" w:rsidRDefault="00BC462F" w:rsidP="00BC462F">
      <w:pPr>
        <w:overflowPunct/>
        <w:autoSpaceDE/>
        <w:autoSpaceDN/>
        <w:adjustRightInd/>
        <w:spacing w:after="0"/>
        <w:jc w:val="both"/>
        <w:textAlignment w:val="auto"/>
      </w:pPr>
      <w:r w:rsidRPr="005274EA">
        <w:t xml:space="preserve">In order to compile with the requirement that </w:t>
      </w:r>
      <w:r w:rsidRPr="005274EA">
        <w:rPr>
          <w:lang w:val="en-US"/>
        </w:rPr>
        <w:t>nothing shall be done elsewhere in the network that would permit LI targets to be identified by observing the traffic passing through a RAN node, it is assumed that all users would be subject to this Copy functionality (for the applicable traffic).</w:t>
      </w:r>
    </w:p>
    <w:p w:rsidR="00BC462F" w:rsidRDefault="00BC462F" w:rsidP="00BC462F">
      <w:pPr>
        <w:overflowPunct/>
        <w:autoSpaceDE/>
        <w:autoSpaceDN/>
        <w:adjustRightInd/>
        <w:spacing w:after="0"/>
        <w:jc w:val="both"/>
        <w:textAlignment w:val="auto"/>
      </w:pPr>
    </w:p>
    <w:p w:rsidR="005274EA" w:rsidRPr="005274EA" w:rsidRDefault="005274EA" w:rsidP="00BC462F">
      <w:pPr>
        <w:overflowPunct/>
        <w:autoSpaceDE/>
        <w:autoSpaceDN/>
        <w:adjustRightInd/>
        <w:spacing w:after="0"/>
        <w:jc w:val="both"/>
        <w:textAlignment w:val="auto"/>
      </w:pPr>
      <w:r w:rsidRPr="00BC462F">
        <w:t>This methodology allows the re-use of existing Lawful interception points without modification or the need to create and verify new interface(s) to the Lawful interception nodes. (As additional benefit this solution will also allow existing charging mechanisms to be re-used).</w:t>
      </w:r>
      <w:r w:rsidRPr="005274EA">
        <w:t xml:space="preserve"> </w:t>
      </w:r>
    </w:p>
    <w:p w:rsidR="00474F96" w:rsidRDefault="00474F96" w:rsidP="00184F2D">
      <w:pPr>
        <w:overflowPunct/>
        <w:autoSpaceDE/>
        <w:autoSpaceDN/>
        <w:adjustRightInd/>
        <w:spacing w:after="0"/>
        <w:textAlignment w:val="auto"/>
      </w:pPr>
    </w:p>
    <w:p w:rsidR="00BE1424" w:rsidRPr="006C64AD" w:rsidRDefault="00BE1424" w:rsidP="00BE1424">
      <w:pPr>
        <w:rPr>
          <w:b/>
        </w:rPr>
      </w:pPr>
      <w:r w:rsidRPr="006C64AD">
        <w:rPr>
          <w:b/>
        </w:rPr>
        <w:t>Capability Provision</w:t>
      </w:r>
    </w:p>
    <w:p w:rsidR="00BE1424" w:rsidRDefault="00BE1424" w:rsidP="00BC462F">
      <w:pPr>
        <w:jc w:val="both"/>
      </w:pPr>
      <w:r>
        <w:t>The concept of a Quality of LI Service should be considered (</w:t>
      </w:r>
      <w:proofErr w:type="spellStart"/>
      <w:r>
        <w:t>QoLIS</w:t>
      </w:r>
      <w:proofErr w:type="spellEnd"/>
      <w:r>
        <w:t>). If possible, we should provide different handling options to provide efficient backhaul, and collection of only what is really needed</w:t>
      </w:r>
      <w:r w:rsidRPr="00BC462F">
        <w:rPr>
          <w:color w:val="000000" w:themeColor="text1"/>
        </w:rPr>
        <w:t>. For MEC, we only need to copy traffic that is served by MEC applications (i.e. where the content is generated, modified or terminated at the next work edge).  Further granularity could be provided on a per-MEC application basis to optimise what is sent (e.g. for MEC application X only meta data is required to be copied back) but it should be considered that  need the information on what traffic is served can be used for charging purposes as well.</w:t>
      </w:r>
    </w:p>
    <w:p w:rsidR="00BE1424" w:rsidRDefault="00BE1424" w:rsidP="00BE1424">
      <w:r w:rsidRPr="004E1A25">
        <w:t>Alignment with the scenarios under study in the small cell work should be considered</w:t>
      </w:r>
      <w:r w:rsidR="009A67FE" w:rsidRPr="004E1A25">
        <w:t xml:space="preserve"> and re-used where applicable</w:t>
      </w:r>
      <w:r w:rsidRPr="004E1A25">
        <w:t>.</w:t>
      </w:r>
    </w:p>
    <w:p w:rsidR="00BE1424" w:rsidRPr="00BC462F" w:rsidRDefault="00BE1424" w:rsidP="00BE1424">
      <w:pPr>
        <w:rPr>
          <w:b/>
          <w:color w:val="000000" w:themeColor="text1"/>
        </w:rPr>
      </w:pPr>
      <w:r w:rsidRPr="00BE1424">
        <w:rPr>
          <w:b/>
          <w:color w:val="000000" w:themeColor="text1"/>
        </w:rPr>
        <w:t>Intercept Related Information – HI2 (IRI’s)</w:t>
      </w:r>
    </w:p>
    <w:p w:rsidR="00BE1424" w:rsidRPr="00BC462F" w:rsidRDefault="00BE1424" w:rsidP="00BE1424">
      <w:pPr>
        <w:rPr>
          <w:color w:val="000000" w:themeColor="text1"/>
        </w:rPr>
      </w:pPr>
      <w:r w:rsidRPr="00BC462F">
        <w:rPr>
          <w:color w:val="000000" w:themeColor="text1"/>
        </w:rPr>
        <w:t>The following cases should be considered:</w:t>
      </w:r>
    </w:p>
    <w:p w:rsidR="00BE1424" w:rsidRPr="00BC462F" w:rsidRDefault="00BE1424" w:rsidP="00BE1424">
      <w:pPr>
        <w:pStyle w:val="ListParagraph"/>
        <w:numPr>
          <w:ilvl w:val="0"/>
          <w:numId w:val="18"/>
        </w:numPr>
        <w:rPr>
          <w:rFonts w:ascii="Times New Roman" w:hAnsi="Times New Roman" w:cs="Times New Roman"/>
          <w:sz w:val="20"/>
          <w:szCs w:val="20"/>
        </w:rPr>
      </w:pPr>
      <w:r w:rsidRPr="00BC462F">
        <w:rPr>
          <w:rFonts w:ascii="Times New Roman" w:hAnsi="Times New Roman" w:cs="Times New Roman"/>
          <w:sz w:val="20"/>
          <w:szCs w:val="20"/>
        </w:rPr>
        <w:t>Generic as reported by core – business as usual.</w:t>
      </w:r>
    </w:p>
    <w:p w:rsidR="00BE1424" w:rsidRPr="00BC462F" w:rsidRDefault="00BE1424" w:rsidP="00BE1424">
      <w:pPr>
        <w:pStyle w:val="ListParagraph"/>
        <w:numPr>
          <w:ilvl w:val="0"/>
          <w:numId w:val="18"/>
        </w:numPr>
        <w:rPr>
          <w:rFonts w:ascii="Times New Roman" w:hAnsi="Times New Roman" w:cs="Times New Roman"/>
          <w:sz w:val="20"/>
          <w:szCs w:val="20"/>
        </w:rPr>
      </w:pPr>
      <w:r w:rsidRPr="00BC462F">
        <w:rPr>
          <w:rFonts w:ascii="Times New Roman" w:hAnsi="Times New Roman" w:cs="Times New Roman"/>
          <w:sz w:val="20"/>
          <w:szCs w:val="20"/>
        </w:rPr>
        <w:t>For others report a packet counter. This looks at content only so no IRI’s available unless provided to the core already. This allows LEA’s understand what product is being produced even if they don’t want to receive the intercepted content.</w:t>
      </w:r>
    </w:p>
    <w:p w:rsidR="00BE1424" w:rsidRPr="00BC462F" w:rsidRDefault="00BE1424" w:rsidP="00BE1424">
      <w:pPr>
        <w:pStyle w:val="ListParagraph"/>
        <w:numPr>
          <w:ilvl w:val="0"/>
          <w:numId w:val="18"/>
        </w:numPr>
        <w:rPr>
          <w:rFonts w:ascii="Times New Roman" w:hAnsi="Times New Roman" w:cs="Times New Roman"/>
          <w:sz w:val="20"/>
          <w:szCs w:val="20"/>
        </w:rPr>
      </w:pPr>
      <w:r w:rsidRPr="00BC462F">
        <w:rPr>
          <w:rFonts w:ascii="Times New Roman" w:hAnsi="Times New Roman" w:cs="Times New Roman"/>
          <w:sz w:val="20"/>
          <w:szCs w:val="20"/>
        </w:rPr>
        <w:t>MME should provide the MF/AF with the function to trigger LI. MME triggering will also be service specific.</w:t>
      </w:r>
    </w:p>
    <w:p w:rsidR="0000166E" w:rsidRDefault="0000166E" w:rsidP="0000166E">
      <w:pPr>
        <w:pStyle w:val="Heading1"/>
      </w:pPr>
      <w:r>
        <w:t>5</w:t>
      </w:r>
      <w:r>
        <w:tab/>
      </w:r>
      <w:r w:rsidR="008F45BE">
        <w:t>Next steps</w:t>
      </w:r>
    </w:p>
    <w:p w:rsidR="0000166E" w:rsidRPr="00BC462F" w:rsidRDefault="005F6937" w:rsidP="005F6937">
      <w:pPr>
        <w:pStyle w:val="ListParagraph"/>
        <w:numPr>
          <w:ilvl w:val="0"/>
          <w:numId w:val="13"/>
        </w:numPr>
        <w:spacing w:after="0"/>
        <w:rPr>
          <w:rFonts w:ascii="Times New Roman" w:hAnsi="Times New Roman" w:cs="Times New Roman"/>
          <w:sz w:val="20"/>
          <w:szCs w:val="20"/>
        </w:rPr>
      </w:pPr>
      <w:r w:rsidRPr="00BC462F">
        <w:rPr>
          <w:rFonts w:ascii="Times New Roman" w:hAnsi="Times New Roman" w:cs="Times New Roman"/>
          <w:sz w:val="20"/>
          <w:szCs w:val="20"/>
        </w:rPr>
        <w:t>SA3 LI to agree that work should be done to support LI for MEC</w:t>
      </w:r>
      <w:r w:rsidR="005F6F5D" w:rsidRPr="00BC462F">
        <w:rPr>
          <w:rFonts w:ascii="Times New Roman" w:hAnsi="Times New Roman" w:cs="Times New Roman"/>
          <w:sz w:val="20"/>
          <w:szCs w:val="20"/>
        </w:rPr>
        <w:t xml:space="preserve"> and captures these requirements</w:t>
      </w:r>
      <w:r w:rsidR="00280577" w:rsidRPr="00BC462F">
        <w:rPr>
          <w:rFonts w:ascii="Times New Roman" w:hAnsi="Times New Roman" w:cs="Times New Roman"/>
          <w:sz w:val="20"/>
          <w:szCs w:val="20"/>
        </w:rPr>
        <w:t xml:space="preserve"> ensuring that the inherent security requirements are met</w:t>
      </w:r>
    </w:p>
    <w:p w:rsidR="005F6937" w:rsidRPr="00BC462F" w:rsidRDefault="005F6937" w:rsidP="005F6937">
      <w:pPr>
        <w:pStyle w:val="ListParagraph"/>
        <w:numPr>
          <w:ilvl w:val="0"/>
          <w:numId w:val="13"/>
        </w:numPr>
        <w:spacing w:after="0"/>
        <w:rPr>
          <w:rFonts w:ascii="Times New Roman" w:hAnsi="Times New Roman" w:cs="Times New Roman"/>
          <w:sz w:val="20"/>
          <w:szCs w:val="20"/>
        </w:rPr>
      </w:pPr>
      <w:r w:rsidRPr="00BC462F">
        <w:rPr>
          <w:rFonts w:ascii="Times New Roman" w:hAnsi="Times New Roman" w:cs="Times New Roman"/>
          <w:sz w:val="20"/>
          <w:szCs w:val="20"/>
        </w:rPr>
        <w:t>SA3 LI to confirm the propos</w:t>
      </w:r>
      <w:r w:rsidR="005F6F5D" w:rsidRPr="00BC462F">
        <w:rPr>
          <w:rFonts w:ascii="Times New Roman" w:hAnsi="Times New Roman" w:cs="Times New Roman"/>
          <w:sz w:val="20"/>
          <w:szCs w:val="20"/>
        </w:rPr>
        <w:t>ed</w:t>
      </w:r>
      <w:r w:rsidRPr="00BC462F">
        <w:rPr>
          <w:rFonts w:ascii="Times New Roman" w:hAnsi="Times New Roman" w:cs="Times New Roman"/>
          <w:sz w:val="20"/>
          <w:szCs w:val="20"/>
        </w:rPr>
        <w:t xml:space="preserve"> solution as the working assumption</w:t>
      </w:r>
    </w:p>
    <w:p w:rsidR="005F6937" w:rsidRPr="00BC462F" w:rsidRDefault="005F6937" w:rsidP="005F6937">
      <w:pPr>
        <w:pStyle w:val="ListParagraph"/>
        <w:numPr>
          <w:ilvl w:val="0"/>
          <w:numId w:val="13"/>
        </w:numPr>
        <w:spacing w:after="0"/>
        <w:rPr>
          <w:rFonts w:ascii="Times New Roman" w:hAnsi="Times New Roman" w:cs="Times New Roman"/>
          <w:sz w:val="20"/>
          <w:szCs w:val="20"/>
        </w:rPr>
      </w:pPr>
      <w:r w:rsidRPr="00BC462F">
        <w:rPr>
          <w:rFonts w:ascii="Times New Roman" w:hAnsi="Times New Roman" w:cs="Times New Roman"/>
          <w:sz w:val="20"/>
          <w:szCs w:val="20"/>
        </w:rPr>
        <w:t xml:space="preserve">SA3 LI to liaise with </w:t>
      </w:r>
      <w:r w:rsidR="005F6F5D" w:rsidRPr="00BC462F">
        <w:rPr>
          <w:rFonts w:ascii="Times New Roman" w:hAnsi="Times New Roman" w:cs="Times New Roman"/>
          <w:sz w:val="20"/>
          <w:szCs w:val="20"/>
        </w:rPr>
        <w:t>other relevant Working Groups to develop Stage 3</w:t>
      </w:r>
    </w:p>
    <w:p w:rsidR="00DD3132" w:rsidRDefault="0000166E" w:rsidP="009F1B44">
      <w:pPr>
        <w:pStyle w:val="Heading1"/>
      </w:pPr>
      <w:r>
        <w:t>6</w:t>
      </w:r>
      <w:r w:rsidR="00F338BF">
        <w:tab/>
      </w:r>
      <w:r w:rsidR="005274EA">
        <w:t>References</w:t>
      </w:r>
    </w:p>
    <w:p w:rsidR="005274EA" w:rsidRDefault="005274EA" w:rsidP="005274EA">
      <w:pPr>
        <w:overflowPunct/>
        <w:autoSpaceDE/>
        <w:autoSpaceDN/>
        <w:adjustRightInd/>
        <w:spacing w:after="0"/>
        <w:textAlignment w:val="auto"/>
      </w:pPr>
      <w:r>
        <w:t xml:space="preserve">[1] </w:t>
      </w:r>
      <w:hyperlink r:id="rId9" w:anchor="5068-home" w:history="1">
        <w:r w:rsidRPr="00A371A2">
          <w:rPr>
            <w:rStyle w:val="Hyperlink"/>
          </w:rPr>
          <w:t>http://portal.etsi.org/tb.aspx?tbid=826&amp;SubTB=826#5068-home</w:t>
        </w:r>
      </w:hyperlink>
    </w:p>
    <w:p w:rsidR="005274EA" w:rsidRDefault="005274EA" w:rsidP="005274EA">
      <w:pPr>
        <w:overflowPunct/>
        <w:autoSpaceDE/>
        <w:autoSpaceDN/>
        <w:adjustRightInd/>
        <w:spacing w:after="0"/>
        <w:textAlignment w:val="auto"/>
      </w:pPr>
    </w:p>
    <w:p w:rsidR="005D17E6" w:rsidRDefault="005274EA" w:rsidP="005274EA">
      <w:pPr>
        <w:overflowPunct/>
        <w:autoSpaceDE/>
        <w:autoSpaceDN/>
        <w:adjustRightInd/>
        <w:spacing w:after="0"/>
        <w:textAlignment w:val="auto"/>
      </w:pPr>
      <w:r>
        <w:t xml:space="preserve">[2] </w:t>
      </w:r>
      <w:hyperlink r:id="rId10" w:history="1">
        <w:r w:rsidRPr="00A371A2">
          <w:rPr>
            <w:rStyle w:val="Hyperlink"/>
          </w:rPr>
          <w:t>http://portal.etsi.org/Portals/0/TBpages/MEC/Docs/Mobile-edge_Computing_-_Introductory_Technical_White_Paper_V1%2018-09-14.pdf</w:t>
        </w:r>
      </w:hyperlink>
    </w:p>
    <w:p w:rsidR="0000166E" w:rsidRDefault="0000166E" w:rsidP="0000166E">
      <w:pPr>
        <w:pStyle w:val="Heading1"/>
      </w:pPr>
      <w:r>
        <w:t>7</w:t>
      </w:r>
      <w:r>
        <w:tab/>
        <w:t xml:space="preserve">Appendix: </w:t>
      </w:r>
      <w:r w:rsidRPr="0000166E">
        <w:t>Flow for support of LI for Mobile Edge Computing</w:t>
      </w:r>
    </w:p>
    <w:p w:rsidR="0000166E" w:rsidRPr="0000166E" w:rsidRDefault="0000166E" w:rsidP="0000166E">
      <w:pPr>
        <w:rPr>
          <w:b/>
        </w:rPr>
      </w:pPr>
    </w:p>
    <w:p w:rsidR="0000166E" w:rsidRPr="0000166E" w:rsidRDefault="0000166E" w:rsidP="0000166E">
      <w:pPr>
        <w:jc w:val="center"/>
        <w:rPr>
          <w:b/>
        </w:rPr>
      </w:pPr>
      <w:r w:rsidRPr="0000166E">
        <w:rPr>
          <w:b/>
          <w:noProof/>
          <w:lang w:eastAsia="en-GB"/>
        </w:rPr>
        <w:lastRenderedPageBreak/>
        <w:drawing>
          <wp:inline distT="0" distB="0" distL="0" distR="0" wp14:anchorId="27596BD1" wp14:editId="2C89FC15">
            <wp:extent cx="3335731" cy="26946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6932" cy="2695653"/>
                    </a:xfrm>
                    <a:prstGeom prst="rect">
                      <a:avLst/>
                    </a:prstGeom>
                    <a:noFill/>
                  </pic:spPr>
                </pic:pic>
              </a:graphicData>
            </a:graphic>
          </wp:inline>
        </w:drawing>
      </w:r>
    </w:p>
    <w:p w:rsidR="0000166E" w:rsidRPr="0000166E" w:rsidRDefault="0000166E" w:rsidP="0000166E">
      <w:pPr>
        <w:jc w:val="center"/>
        <w:rPr>
          <w:b/>
        </w:rPr>
      </w:pPr>
      <w:r w:rsidRPr="0000166E">
        <w:rPr>
          <w:b/>
        </w:rPr>
        <w:t>Figure 2: Flow for “Copy” functionality</w:t>
      </w:r>
    </w:p>
    <w:p w:rsidR="0000166E" w:rsidRPr="0000166E" w:rsidRDefault="0000166E" w:rsidP="0000166E">
      <w:pPr>
        <w:numPr>
          <w:ilvl w:val="0"/>
          <w:numId w:val="12"/>
        </w:numPr>
      </w:pPr>
      <w:r w:rsidRPr="0000166E">
        <w:t xml:space="preserve">User sends a User packet uplink to the network. </w:t>
      </w:r>
    </w:p>
    <w:p w:rsidR="0000166E" w:rsidRPr="0000166E" w:rsidRDefault="0000166E" w:rsidP="0000166E">
      <w:pPr>
        <w:numPr>
          <w:ilvl w:val="0"/>
          <w:numId w:val="12"/>
        </w:numPr>
      </w:pPr>
      <w:r w:rsidRPr="0000166E">
        <w:t xml:space="preserve">This packet is routed to the </w:t>
      </w:r>
      <w:proofErr w:type="spellStart"/>
      <w:r w:rsidRPr="0000166E">
        <w:t>eNodeB</w:t>
      </w:r>
      <w:proofErr w:type="spellEnd"/>
      <w:r w:rsidRPr="0000166E">
        <w:t>/MEC Platform.</w:t>
      </w:r>
    </w:p>
    <w:p w:rsidR="0000166E" w:rsidRPr="0000166E" w:rsidRDefault="0000166E" w:rsidP="0000166E">
      <w:pPr>
        <w:numPr>
          <w:ilvl w:val="0"/>
          <w:numId w:val="12"/>
        </w:numPr>
      </w:pPr>
      <w:r w:rsidRPr="0000166E">
        <w:t xml:space="preserve">Based on Application available on the </w:t>
      </w:r>
      <w:proofErr w:type="spellStart"/>
      <w:r w:rsidRPr="0000166E">
        <w:t>eNodeB</w:t>
      </w:r>
      <w:proofErr w:type="spellEnd"/>
      <w:r w:rsidRPr="0000166E">
        <w:t>/MEC Platform and User Policy, the MEC Platform passes this packet to an Application hosted on the MEC Platform.</w:t>
      </w:r>
    </w:p>
    <w:p w:rsidR="0000166E" w:rsidRPr="0000166E" w:rsidRDefault="0000166E" w:rsidP="0000166E">
      <w:pPr>
        <w:numPr>
          <w:ilvl w:val="0"/>
          <w:numId w:val="12"/>
        </w:numPr>
      </w:pPr>
      <w:r w:rsidRPr="0000166E">
        <w:t xml:space="preserve">The Copy functionality of the MEC Platform sends a copy of the uplink user request packets (MEC Copy Data) to MEC related functions on the S-GW and/or P-GW on the GTP-U session associated with the E-RAB of the User.  Additional information is added within the GTP-U frame to distinguish these from normal User uplink traffic and to indicate whether this is uplink or downlink traffic. </w:t>
      </w:r>
    </w:p>
    <w:p w:rsidR="0000166E" w:rsidRPr="0000166E" w:rsidRDefault="0000166E" w:rsidP="0000166E">
      <w:pPr>
        <w:numPr>
          <w:ilvl w:val="0"/>
          <w:numId w:val="12"/>
        </w:numPr>
      </w:pPr>
      <w:r w:rsidRPr="0000166E">
        <w:t>The Copy functionality of the S-GW and/or P-GW retrieves these packets from the GTP-U session for use in Lawful Interception function and discards them after processing.</w:t>
      </w:r>
    </w:p>
    <w:p w:rsidR="0000166E" w:rsidRPr="0000166E" w:rsidRDefault="0000166E" w:rsidP="0000166E">
      <w:pPr>
        <w:numPr>
          <w:ilvl w:val="0"/>
          <w:numId w:val="12"/>
        </w:numPr>
      </w:pPr>
      <w:r w:rsidRPr="0000166E">
        <w:t xml:space="preserve">If MEC Application can service the request locally, it sends a downlink packet. </w:t>
      </w:r>
    </w:p>
    <w:p w:rsidR="0000166E" w:rsidRPr="0000166E" w:rsidRDefault="0000166E" w:rsidP="0000166E">
      <w:pPr>
        <w:numPr>
          <w:ilvl w:val="0"/>
          <w:numId w:val="12"/>
        </w:numPr>
      </w:pPr>
      <w:r w:rsidRPr="0000166E">
        <w:t>The packet is sent in the downlink direction to the UE.</w:t>
      </w:r>
    </w:p>
    <w:p w:rsidR="0000166E" w:rsidRPr="0000166E" w:rsidRDefault="0000166E" w:rsidP="0000166E">
      <w:pPr>
        <w:numPr>
          <w:ilvl w:val="0"/>
          <w:numId w:val="12"/>
        </w:numPr>
      </w:pPr>
      <w:r w:rsidRPr="0000166E">
        <w:t xml:space="preserve">The Copy functionality of the MEC Platform sends a copy of downlink packets (MEC Copy Data) to the S-GW and/or P-GW on the uplink GTP-U session associated with the E-RAB of the User. Additional information is added within the GTP-U frame to distinguish these from normal User uplink traffic and to indicate whether this is uplink or downlink traffic. </w:t>
      </w:r>
    </w:p>
    <w:p w:rsidR="0000166E" w:rsidRPr="0000166E" w:rsidRDefault="0000166E" w:rsidP="0000166E">
      <w:pPr>
        <w:numPr>
          <w:ilvl w:val="0"/>
          <w:numId w:val="12"/>
        </w:numPr>
      </w:pPr>
      <w:r w:rsidRPr="0000166E">
        <w:t>The Copy functionality of the S-GW and/or P-GW retrieves these packets from the GTP-U session for use in the Lawful Interception function and discards them after processing.</w:t>
      </w:r>
    </w:p>
    <w:p w:rsidR="0000166E" w:rsidRDefault="0000166E" w:rsidP="006A4B42">
      <w:pPr>
        <w:overflowPunct/>
        <w:autoSpaceDE/>
        <w:autoSpaceDN/>
        <w:adjustRightInd/>
        <w:spacing w:after="0"/>
        <w:textAlignment w:val="auto"/>
      </w:pPr>
    </w:p>
    <w:sectPr w:rsidR="0000166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9AF" w:rsidRDefault="00D019AF">
      <w:r>
        <w:separator/>
      </w:r>
    </w:p>
  </w:endnote>
  <w:endnote w:type="continuationSeparator" w:id="0">
    <w:p w:rsidR="00D019AF" w:rsidRDefault="00D01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71E" w:rsidRPr="00606BF9" w:rsidRDefault="00AA071E" w:rsidP="00606B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71E" w:rsidRPr="00606BF9" w:rsidRDefault="00AA071E" w:rsidP="00606BF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BF9" w:rsidRDefault="00606B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9AF" w:rsidRDefault="00D019AF">
      <w:r>
        <w:separator/>
      </w:r>
    </w:p>
  </w:footnote>
  <w:footnote w:type="continuationSeparator" w:id="0">
    <w:p w:rsidR="00D019AF" w:rsidRDefault="00D01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71E" w:rsidRPr="00606BF9" w:rsidRDefault="00AA071E" w:rsidP="00606B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BF9" w:rsidRDefault="00606BF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BF9" w:rsidRDefault="00606B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D32BB"/>
    <w:multiLevelType w:val="hybridMultilevel"/>
    <w:tmpl w:val="D82813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A58742D"/>
    <w:multiLevelType w:val="hybridMultilevel"/>
    <w:tmpl w:val="58C00E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E807C3"/>
    <w:multiLevelType w:val="hybridMultilevel"/>
    <w:tmpl w:val="DBB2D36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30423A9"/>
    <w:multiLevelType w:val="hybridMultilevel"/>
    <w:tmpl w:val="9A2E68F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133F04BE"/>
    <w:multiLevelType w:val="hybridMultilevel"/>
    <w:tmpl w:val="BB5C519A"/>
    <w:lvl w:ilvl="0" w:tplc="3AECFCA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nsid w:val="19C546F8"/>
    <w:multiLevelType w:val="hybridMultilevel"/>
    <w:tmpl w:val="45D2F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07973B9"/>
    <w:multiLevelType w:val="hybridMultilevel"/>
    <w:tmpl w:val="B8AE8C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43D6406"/>
    <w:multiLevelType w:val="hybridMultilevel"/>
    <w:tmpl w:val="11986C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40C75391"/>
    <w:multiLevelType w:val="hybridMultilevel"/>
    <w:tmpl w:val="F062605A"/>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nsid w:val="42EF0673"/>
    <w:multiLevelType w:val="hybridMultilevel"/>
    <w:tmpl w:val="27CC21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BFD7BA6"/>
    <w:multiLevelType w:val="hybridMultilevel"/>
    <w:tmpl w:val="AA7841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00804EB"/>
    <w:multiLevelType w:val="hybridMultilevel"/>
    <w:tmpl w:val="04B01E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0297F7B"/>
    <w:multiLevelType w:val="hybridMultilevel"/>
    <w:tmpl w:val="85F8144A"/>
    <w:lvl w:ilvl="0" w:tplc="A76C7D0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0602DF"/>
    <w:multiLevelType w:val="hybridMultilevel"/>
    <w:tmpl w:val="009A7B8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EB51EE4"/>
    <w:multiLevelType w:val="hybridMultilevel"/>
    <w:tmpl w:val="70282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3FC4A33"/>
    <w:multiLevelType w:val="hybridMultilevel"/>
    <w:tmpl w:val="8AE299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7"/>
  </w:num>
  <w:num w:numId="3">
    <w:abstractNumId w:val="3"/>
  </w:num>
  <w:num w:numId="4">
    <w:abstractNumId w:val="2"/>
  </w:num>
  <w:num w:numId="5">
    <w:abstractNumId w:val="7"/>
  </w:num>
  <w:num w:numId="6">
    <w:abstractNumId w:val="4"/>
  </w:num>
  <w:num w:numId="7">
    <w:abstractNumId w:val="9"/>
  </w:num>
  <w:num w:numId="8">
    <w:abstractNumId w:val="6"/>
  </w:num>
  <w:num w:numId="9">
    <w:abstractNumId w:val="11"/>
  </w:num>
  <w:num w:numId="10">
    <w:abstractNumId w:val="13"/>
  </w:num>
  <w:num w:numId="11">
    <w:abstractNumId w:val="15"/>
  </w:num>
  <w:num w:numId="12">
    <w:abstractNumId w:val="5"/>
  </w:num>
  <w:num w:numId="13">
    <w:abstractNumId w:val="16"/>
  </w:num>
  <w:num w:numId="14">
    <w:abstractNumId w:val="12"/>
  </w:num>
  <w:num w:numId="15">
    <w:abstractNumId w:val="1"/>
  </w:num>
  <w:num w:numId="16">
    <w:abstractNumId w:val="14"/>
  </w:num>
  <w:num w:numId="17">
    <w:abstractNumId w:val="10"/>
  </w:num>
  <w:num w:numId="1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4DE"/>
    <w:rsid w:val="00000515"/>
    <w:rsid w:val="0000166E"/>
    <w:rsid w:val="00001FC3"/>
    <w:rsid w:val="00003131"/>
    <w:rsid w:val="000037FB"/>
    <w:rsid w:val="00006AA7"/>
    <w:rsid w:val="00006ECF"/>
    <w:rsid w:val="00007521"/>
    <w:rsid w:val="00010BDB"/>
    <w:rsid w:val="00011D52"/>
    <w:rsid w:val="00011F5E"/>
    <w:rsid w:val="00012294"/>
    <w:rsid w:val="000144E2"/>
    <w:rsid w:val="00015AB6"/>
    <w:rsid w:val="000162B2"/>
    <w:rsid w:val="000205C1"/>
    <w:rsid w:val="00020D61"/>
    <w:rsid w:val="0002130A"/>
    <w:rsid w:val="00021DEC"/>
    <w:rsid w:val="00021FC4"/>
    <w:rsid w:val="000222F7"/>
    <w:rsid w:val="000226D7"/>
    <w:rsid w:val="00022879"/>
    <w:rsid w:val="00023C29"/>
    <w:rsid w:val="000255A1"/>
    <w:rsid w:val="000266AE"/>
    <w:rsid w:val="00026905"/>
    <w:rsid w:val="00027261"/>
    <w:rsid w:val="00027D33"/>
    <w:rsid w:val="000300FE"/>
    <w:rsid w:val="00030F74"/>
    <w:rsid w:val="00031664"/>
    <w:rsid w:val="000316FF"/>
    <w:rsid w:val="00031EDD"/>
    <w:rsid w:val="000349B7"/>
    <w:rsid w:val="00034D7B"/>
    <w:rsid w:val="0003540B"/>
    <w:rsid w:val="0003561A"/>
    <w:rsid w:val="00035673"/>
    <w:rsid w:val="00036934"/>
    <w:rsid w:val="00036BE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602E"/>
    <w:rsid w:val="00056057"/>
    <w:rsid w:val="00056752"/>
    <w:rsid w:val="00057F6C"/>
    <w:rsid w:val="00060FDB"/>
    <w:rsid w:val="000612C5"/>
    <w:rsid w:val="0006170D"/>
    <w:rsid w:val="00061B88"/>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76778"/>
    <w:rsid w:val="00083322"/>
    <w:rsid w:val="000837E2"/>
    <w:rsid w:val="00084255"/>
    <w:rsid w:val="00086B50"/>
    <w:rsid w:val="00087E29"/>
    <w:rsid w:val="0009085D"/>
    <w:rsid w:val="00092213"/>
    <w:rsid w:val="000931C3"/>
    <w:rsid w:val="0009709B"/>
    <w:rsid w:val="000A0E59"/>
    <w:rsid w:val="000A0E99"/>
    <w:rsid w:val="000A1019"/>
    <w:rsid w:val="000A1A8A"/>
    <w:rsid w:val="000A1D49"/>
    <w:rsid w:val="000A2D91"/>
    <w:rsid w:val="000A3277"/>
    <w:rsid w:val="000A3425"/>
    <w:rsid w:val="000A3ACB"/>
    <w:rsid w:val="000A4B74"/>
    <w:rsid w:val="000A6788"/>
    <w:rsid w:val="000A6CFE"/>
    <w:rsid w:val="000B1CD3"/>
    <w:rsid w:val="000B256B"/>
    <w:rsid w:val="000B34BC"/>
    <w:rsid w:val="000B3F37"/>
    <w:rsid w:val="000B4977"/>
    <w:rsid w:val="000B521A"/>
    <w:rsid w:val="000B546F"/>
    <w:rsid w:val="000B6EA9"/>
    <w:rsid w:val="000B7170"/>
    <w:rsid w:val="000B7D5E"/>
    <w:rsid w:val="000B7E8D"/>
    <w:rsid w:val="000C0262"/>
    <w:rsid w:val="000C2178"/>
    <w:rsid w:val="000C364C"/>
    <w:rsid w:val="000C4AEE"/>
    <w:rsid w:val="000C5169"/>
    <w:rsid w:val="000C54FA"/>
    <w:rsid w:val="000C6787"/>
    <w:rsid w:val="000C78C4"/>
    <w:rsid w:val="000D037E"/>
    <w:rsid w:val="000D0F9A"/>
    <w:rsid w:val="000D148D"/>
    <w:rsid w:val="000D1610"/>
    <w:rsid w:val="000D37FA"/>
    <w:rsid w:val="000D3AEB"/>
    <w:rsid w:val="000D4324"/>
    <w:rsid w:val="000D4DE6"/>
    <w:rsid w:val="000D59D6"/>
    <w:rsid w:val="000D6E96"/>
    <w:rsid w:val="000D7783"/>
    <w:rsid w:val="000D7886"/>
    <w:rsid w:val="000D7E4E"/>
    <w:rsid w:val="000E011D"/>
    <w:rsid w:val="000E14B9"/>
    <w:rsid w:val="000E1E8E"/>
    <w:rsid w:val="000E3F84"/>
    <w:rsid w:val="000E4C9B"/>
    <w:rsid w:val="000E4D01"/>
    <w:rsid w:val="000E5830"/>
    <w:rsid w:val="000E5FF4"/>
    <w:rsid w:val="000E65A7"/>
    <w:rsid w:val="000E6F62"/>
    <w:rsid w:val="000F076F"/>
    <w:rsid w:val="000F0DF1"/>
    <w:rsid w:val="000F1CF3"/>
    <w:rsid w:val="000F1ECA"/>
    <w:rsid w:val="000F2B1F"/>
    <w:rsid w:val="000F4F3D"/>
    <w:rsid w:val="000F4F44"/>
    <w:rsid w:val="000F5362"/>
    <w:rsid w:val="000F56DF"/>
    <w:rsid w:val="000F6758"/>
    <w:rsid w:val="00100898"/>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115C0"/>
    <w:rsid w:val="00111AD9"/>
    <w:rsid w:val="00111C05"/>
    <w:rsid w:val="001122E9"/>
    <w:rsid w:val="001124CB"/>
    <w:rsid w:val="00112B8F"/>
    <w:rsid w:val="001134DA"/>
    <w:rsid w:val="001136BB"/>
    <w:rsid w:val="001140FA"/>
    <w:rsid w:val="001141F0"/>
    <w:rsid w:val="001146A3"/>
    <w:rsid w:val="00114EA7"/>
    <w:rsid w:val="00117957"/>
    <w:rsid w:val="00121A7C"/>
    <w:rsid w:val="00121A82"/>
    <w:rsid w:val="00123528"/>
    <w:rsid w:val="0012467D"/>
    <w:rsid w:val="00125A14"/>
    <w:rsid w:val="001274AC"/>
    <w:rsid w:val="001275E6"/>
    <w:rsid w:val="00127DE2"/>
    <w:rsid w:val="00131AC6"/>
    <w:rsid w:val="001322B0"/>
    <w:rsid w:val="00132369"/>
    <w:rsid w:val="00132917"/>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51546"/>
    <w:rsid w:val="00151805"/>
    <w:rsid w:val="00153A6B"/>
    <w:rsid w:val="001544AB"/>
    <w:rsid w:val="00155924"/>
    <w:rsid w:val="00157995"/>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2C20"/>
    <w:rsid w:val="00174C23"/>
    <w:rsid w:val="00174DDB"/>
    <w:rsid w:val="001752EC"/>
    <w:rsid w:val="00175B5A"/>
    <w:rsid w:val="00177A0D"/>
    <w:rsid w:val="00177EBD"/>
    <w:rsid w:val="0018016C"/>
    <w:rsid w:val="001816D0"/>
    <w:rsid w:val="00181B3A"/>
    <w:rsid w:val="001820B2"/>
    <w:rsid w:val="00183C7B"/>
    <w:rsid w:val="00184F2D"/>
    <w:rsid w:val="0018538A"/>
    <w:rsid w:val="00185E59"/>
    <w:rsid w:val="00190F0B"/>
    <w:rsid w:val="00191727"/>
    <w:rsid w:val="00191827"/>
    <w:rsid w:val="00191EBF"/>
    <w:rsid w:val="001925E5"/>
    <w:rsid w:val="0019573B"/>
    <w:rsid w:val="0019734F"/>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5332"/>
    <w:rsid w:val="001B640A"/>
    <w:rsid w:val="001B70CF"/>
    <w:rsid w:val="001B76F2"/>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816"/>
    <w:rsid w:val="001D7B96"/>
    <w:rsid w:val="001E1176"/>
    <w:rsid w:val="001E220A"/>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63A7"/>
    <w:rsid w:val="00206E5A"/>
    <w:rsid w:val="0020714C"/>
    <w:rsid w:val="00207613"/>
    <w:rsid w:val="00207847"/>
    <w:rsid w:val="00207B40"/>
    <w:rsid w:val="00210A2E"/>
    <w:rsid w:val="00210C91"/>
    <w:rsid w:val="00214E0D"/>
    <w:rsid w:val="002165F9"/>
    <w:rsid w:val="00216685"/>
    <w:rsid w:val="00216FF3"/>
    <w:rsid w:val="002202EC"/>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512A9"/>
    <w:rsid w:val="0025169E"/>
    <w:rsid w:val="00251929"/>
    <w:rsid w:val="00251F5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FEB"/>
    <w:rsid w:val="002738C9"/>
    <w:rsid w:val="00273B2D"/>
    <w:rsid w:val="00273CFB"/>
    <w:rsid w:val="00274357"/>
    <w:rsid w:val="002756D5"/>
    <w:rsid w:val="002759B9"/>
    <w:rsid w:val="00277E66"/>
    <w:rsid w:val="002801E2"/>
    <w:rsid w:val="00280577"/>
    <w:rsid w:val="00282AC7"/>
    <w:rsid w:val="00283D2E"/>
    <w:rsid w:val="002843BE"/>
    <w:rsid w:val="00285894"/>
    <w:rsid w:val="0028729F"/>
    <w:rsid w:val="00287376"/>
    <w:rsid w:val="00287C28"/>
    <w:rsid w:val="00292CBD"/>
    <w:rsid w:val="00293504"/>
    <w:rsid w:val="002944CA"/>
    <w:rsid w:val="0029511D"/>
    <w:rsid w:val="0029614E"/>
    <w:rsid w:val="00296FD8"/>
    <w:rsid w:val="0029743A"/>
    <w:rsid w:val="00297758"/>
    <w:rsid w:val="002978D0"/>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734E"/>
    <w:rsid w:val="002B78B0"/>
    <w:rsid w:val="002C0E50"/>
    <w:rsid w:val="002C203A"/>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E16BC"/>
    <w:rsid w:val="002E26B3"/>
    <w:rsid w:val="002E306D"/>
    <w:rsid w:val="002E57FC"/>
    <w:rsid w:val="002E58E1"/>
    <w:rsid w:val="002E5FE7"/>
    <w:rsid w:val="002F0045"/>
    <w:rsid w:val="002F025B"/>
    <w:rsid w:val="002F0FFD"/>
    <w:rsid w:val="002F1B8E"/>
    <w:rsid w:val="002F2AE0"/>
    <w:rsid w:val="002F413F"/>
    <w:rsid w:val="002F44AD"/>
    <w:rsid w:val="002F45D3"/>
    <w:rsid w:val="002F56AE"/>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A1E"/>
    <w:rsid w:val="00327A9D"/>
    <w:rsid w:val="003308C4"/>
    <w:rsid w:val="00330DE8"/>
    <w:rsid w:val="00331EA6"/>
    <w:rsid w:val="0033314D"/>
    <w:rsid w:val="00335250"/>
    <w:rsid w:val="0033592C"/>
    <w:rsid w:val="0033775D"/>
    <w:rsid w:val="00337FF9"/>
    <w:rsid w:val="0034305B"/>
    <w:rsid w:val="00343263"/>
    <w:rsid w:val="00343AD9"/>
    <w:rsid w:val="0034511B"/>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40DE"/>
    <w:rsid w:val="003741D2"/>
    <w:rsid w:val="00374385"/>
    <w:rsid w:val="00374804"/>
    <w:rsid w:val="00374F06"/>
    <w:rsid w:val="003752CD"/>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3869"/>
    <w:rsid w:val="00393B78"/>
    <w:rsid w:val="00393D5D"/>
    <w:rsid w:val="00394E9D"/>
    <w:rsid w:val="00395063"/>
    <w:rsid w:val="0039604F"/>
    <w:rsid w:val="0039665F"/>
    <w:rsid w:val="00397A31"/>
    <w:rsid w:val="00397F86"/>
    <w:rsid w:val="003A0311"/>
    <w:rsid w:val="003A1341"/>
    <w:rsid w:val="003A19E0"/>
    <w:rsid w:val="003A1DD5"/>
    <w:rsid w:val="003A2CA7"/>
    <w:rsid w:val="003A2FA1"/>
    <w:rsid w:val="003A3250"/>
    <w:rsid w:val="003A42BB"/>
    <w:rsid w:val="003A4B85"/>
    <w:rsid w:val="003A590E"/>
    <w:rsid w:val="003A5BB2"/>
    <w:rsid w:val="003A6984"/>
    <w:rsid w:val="003A714C"/>
    <w:rsid w:val="003B06B9"/>
    <w:rsid w:val="003B0B4D"/>
    <w:rsid w:val="003B12EF"/>
    <w:rsid w:val="003B1316"/>
    <w:rsid w:val="003B50F9"/>
    <w:rsid w:val="003B570F"/>
    <w:rsid w:val="003B5E30"/>
    <w:rsid w:val="003B6FCB"/>
    <w:rsid w:val="003B7201"/>
    <w:rsid w:val="003B79C9"/>
    <w:rsid w:val="003C167B"/>
    <w:rsid w:val="003C19F3"/>
    <w:rsid w:val="003C3463"/>
    <w:rsid w:val="003C4F25"/>
    <w:rsid w:val="003C77E2"/>
    <w:rsid w:val="003D09DA"/>
    <w:rsid w:val="003D16F5"/>
    <w:rsid w:val="003D1950"/>
    <w:rsid w:val="003D2339"/>
    <w:rsid w:val="003D26AA"/>
    <w:rsid w:val="003D2C6E"/>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61"/>
    <w:rsid w:val="003F6853"/>
    <w:rsid w:val="003F693F"/>
    <w:rsid w:val="003F71D5"/>
    <w:rsid w:val="003F7DFF"/>
    <w:rsid w:val="003F7EAB"/>
    <w:rsid w:val="00401616"/>
    <w:rsid w:val="004024AB"/>
    <w:rsid w:val="00402916"/>
    <w:rsid w:val="00402C0B"/>
    <w:rsid w:val="0040303D"/>
    <w:rsid w:val="0040310D"/>
    <w:rsid w:val="004036FC"/>
    <w:rsid w:val="0040379F"/>
    <w:rsid w:val="00403F25"/>
    <w:rsid w:val="004044B0"/>
    <w:rsid w:val="00406F4B"/>
    <w:rsid w:val="004073B0"/>
    <w:rsid w:val="00413180"/>
    <w:rsid w:val="00414D29"/>
    <w:rsid w:val="00415A14"/>
    <w:rsid w:val="00415C58"/>
    <w:rsid w:val="0041616C"/>
    <w:rsid w:val="00416A66"/>
    <w:rsid w:val="00417D1E"/>
    <w:rsid w:val="00420CB7"/>
    <w:rsid w:val="0042156E"/>
    <w:rsid w:val="00423049"/>
    <w:rsid w:val="004241DE"/>
    <w:rsid w:val="0042485A"/>
    <w:rsid w:val="004248CD"/>
    <w:rsid w:val="004259B2"/>
    <w:rsid w:val="00425BC2"/>
    <w:rsid w:val="00425C97"/>
    <w:rsid w:val="0042654A"/>
    <w:rsid w:val="004276E3"/>
    <w:rsid w:val="00427E67"/>
    <w:rsid w:val="00430178"/>
    <w:rsid w:val="0043076A"/>
    <w:rsid w:val="0043156C"/>
    <w:rsid w:val="0043270B"/>
    <w:rsid w:val="004327D7"/>
    <w:rsid w:val="00432F8F"/>
    <w:rsid w:val="004338BC"/>
    <w:rsid w:val="0043480E"/>
    <w:rsid w:val="004355EB"/>
    <w:rsid w:val="00435602"/>
    <w:rsid w:val="004356FA"/>
    <w:rsid w:val="00435CCF"/>
    <w:rsid w:val="00435CF4"/>
    <w:rsid w:val="004371AB"/>
    <w:rsid w:val="0044035D"/>
    <w:rsid w:val="00441522"/>
    <w:rsid w:val="004430FD"/>
    <w:rsid w:val="00443C96"/>
    <w:rsid w:val="004442A7"/>
    <w:rsid w:val="004447CA"/>
    <w:rsid w:val="004448FB"/>
    <w:rsid w:val="00444D2A"/>
    <w:rsid w:val="00445513"/>
    <w:rsid w:val="00445CFF"/>
    <w:rsid w:val="004462AF"/>
    <w:rsid w:val="00446991"/>
    <w:rsid w:val="00446F3E"/>
    <w:rsid w:val="00450D3B"/>
    <w:rsid w:val="00451304"/>
    <w:rsid w:val="004518D5"/>
    <w:rsid w:val="00451BEB"/>
    <w:rsid w:val="0045271B"/>
    <w:rsid w:val="00452A80"/>
    <w:rsid w:val="00453DEF"/>
    <w:rsid w:val="004543E4"/>
    <w:rsid w:val="004548E5"/>
    <w:rsid w:val="00456114"/>
    <w:rsid w:val="0045682E"/>
    <w:rsid w:val="00456971"/>
    <w:rsid w:val="00457242"/>
    <w:rsid w:val="0045742D"/>
    <w:rsid w:val="0046027A"/>
    <w:rsid w:val="00460958"/>
    <w:rsid w:val="0046110A"/>
    <w:rsid w:val="004612C8"/>
    <w:rsid w:val="004616E5"/>
    <w:rsid w:val="0046194F"/>
    <w:rsid w:val="00461A74"/>
    <w:rsid w:val="00461E29"/>
    <w:rsid w:val="00462420"/>
    <w:rsid w:val="00462C8F"/>
    <w:rsid w:val="004634BA"/>
    <w:rsid w:val="0046434B"/>
    <w:rsid w:val="00465573"/>
    <w:rsid w:val="00465DE6"/>
    <w:rsid w:val="004702FE"/>
    <w:rsid w:val="00470750"/>
    <w:rsid w:val="00470FAE"/>
    <w:rsid w:val="00471856"/>
    <w:rsid w:val="00471F7C"/>
    <w:rsid w:val="00472D45"/>
    <w:rsid w:val="00474A4B"/>
    <w:rsid w:val="00474F96"/>
    <w:rsid w:val="00475260"/>
    <w:rsid w:val="00475E6C"/>
    <w:rsid w:val="00476751"/>
    <w:rsid w:val="00476D8B"/>
    <w:rsid w:val="00481607"/>
    <w:rsid w:val="00481E13"/>
    <w:rsid w:val="00483D11"/>
    <w:rsid w:val="0048406D"/>
    <w:rsid w:val="00484C46"/>
    <w:rsid w:val="00485973"/>
    <w:rsid w:val="00485BAA"/>
    <w:rsid w:val="00485E70"/>
    <w:rsid w:val="00485E8A"/>
    <w:rsid w:val="00486A23"/>
    <w:rsid w:val="00490649"/>
    <w:rsid w:val="0049117A"/>
    <w:rsid w:val="00491D2E"/>
    <w:rsid w:val="004924E5"/>
    <w:rsid w:val="0049306F"/>
    <w:rsid w:val="00493D08"/>
    <w:rsid w:val="004951E8"/>
    <w:rsid w:val="00495CB6"/>
    <w:rsid w:val="004961DB"/>
    <w:rsid w:val="004A130E"/>
    <w:rsid w:val="004A13CF"/>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C3F"/>
    <w:rsid w:val="004B6301"/>
    <w:rsid w:val="004B6C33"/>
    <w:rsid w:val="004C0346"/>
    <w:rsid w:val="004C0B5B"/>
    <w:rsid w:val="004C0F99"/>
    <w:rsid w:val="004C130D"/>
    <w:rsid w:val="004C2197"/>
    <w:rsid w:val="004C2F01"/>
    <w:rsid w:val="004C2F61"/>
    <w:rsid w:val="004C521E"/>
    <w:rsid w:val="004C5486"/>
    <w:rsid w:val="004C668C"/>
    <w:rsid w:val="004C7BDF"/>
    <w:rsid w:val="004D0735"/>
    <w:rsid w:val="004D1A33"/>
    <w:rsid w:val="004D1D64"/>
    <w:rsid w:val="004D4968"/>
    <w:rsid w:val="004E03BE"/>
    <w:rsid w:val="004E0CD0"/>
    <w:rsid w:val="004E1A25"/>
    <w:rsid w:val="004E2910"/>
    <w:rsid w:val="004E3E5F"/>
    <w:rsid w:val="004E3FD8"/>
    <w:rsid w:val="004E53AE"/>
    <w:rsid w:val="004E5C61"/>
    <w:rsid w:val="004E6184"/>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2747"/>
    <w:rsid w:val="005129C4"/>
    <w:rsid w:val="00513D1C"/>
    <w:rsid w:val="00513F8F"/>
    <w:rsid w:val="005147E7"/>
    <w:rsid w:val="005149A2"/>
    <w:rsid w:val="0051505F"/>
    <w:rsid w:val="005150E4"/>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274EA"/>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80A"/>
    <w:rsid w:val="00573F24"/>
    <w:rsid w:val="00575F6F"/>
    <w:rsid w:val="00580250"/>
    <w:rsid w:val="0058064D"/>
    <w:rsid w:val="005819D7"/>
    <w:rsid w:val="00581B54"/>
    <w:rsid w:val="005823D5"/>
    <w:rsid w:val="00582D72"/>
    <w:rsid w:val="00582E3D"/>
    <w:rsid w:val="005836D0"/>
    <w:rsid w:val="005838AA"/>
    <w:rsid w:val="00584E7D"/>
    <w:rsid w:val="0058628A"/>
    <w:rsid w:val="0058764D"/>
    <w:rsid w:val="00591B9C"/>
    <w:rsid w:val="00594CCB"/>
    <w:rsid w:val="005964FD"/>
    <w:rsid w:val="005968C4"/>
    <w:rsid w:val="00596F83"/>
    <w:rsid w:val="00597605"/>
    <w:rsid w:val="005A05C6"/>
    <w:rsid w:val="005A0753"/>
    <w:rsid w:val="005A127D"/>
    <w:rsid w:val="005A1A0F"/>
    <w:rsid w:val="005A2229"/>
    <w:rsid w:val="005A23E2"/>
    <w:rsid w:val="005A320D"/>
    <w:rsid w:val="005A36E3"/>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5F6937"/>
    <w:rsid w:val="005F6F5D"/>
    <w:rsid w:val="006009F3"/>
    <w:rsid w:val="0060134C"/>
    <w:rsid w:val="00601FCD"/>
    <w:rsid w:val="00602D37"/>
    <w:rsid w:val="00603054"/>
    <w:rsid w:val="00603903"/>
    <w:rsid w:val="006039C5"/>
    <w:rsid w:val="00603BFB"/>
    <w:rsid w:val="00605CEE"/>
    <w:rsid w:val="00606BF9"/>
    <w:rsid w:val="00607ADE"/>
    <w:rsid w:val="00612B21"/>
    <w:rsid w:val="00612C73"/>
    <w:rsid w:val="00614CB4"/>
    <w:rsid w:val="00614EFC"/>
    <w:rsid w:val="00615648"/>
    <w:rsid w:val="00615BDB"/>
    <w:rsid w:val="0061717F"/>
    <w:rsid w:val="00620651"/>
    <w:rsid w:val="00620686"/>
    <w:rsid w:val="006209E8"/>
    <w:rsid w:val="00621C0B"/>
    <w:rsid w:val="00621CAD"/>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40222"/>
    <w:rsid w:val="00640E97"/>
    <w:rsid w:val="00641061"/>
    <w:rsid w:val="00642D10"/>
    <w:rsid w:val="00644200"/>
    <w:rsid w:val="0064498A"/>
    <w:rsid w:val="00645CA9"/>
    <w:rsid w:val="0064799D"/>
    <w:rsid w:val="00650421"/>
    <w:rsid w:val="00650854"/>
    <w:rsid w:val="00651116"/>
    <w:rsid w:val="00651AD3"/>
    <w:rsid w:val="00651FA0"/>
    <w:rsid w:val="006544F6"/>
    <w:rsid w:val="00655070"/>
    <w:rsid w:val="006557CB"/>
    <w:rsid w:val="0065594D"/>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704BF"/>
    <w:rsid w:val="00670ECD"/>
    <w:rsid w:val="006713B8"/>
    <w:rsid w:val="006720FB"/>
    <w:rsid w:val="006735F8"/>
    <w:rsid w:val="00673FBF"/>
    <w:rsid w:val="00674460"/>
    <w:rsid w:val="00676B2E"/>
    <w:rsid w:val="00680A97"/>
    <w:rsid w:val="0068102D"/>
    <w:rsid w:val="006821D8"/>
    <w:rsid w:val="0068226B"/>
    <w:rsid w:val="00682ED3"/>
    <w:rsid w:val="00685D3B"/>
    <w:rsid w:val="00686BC7"/>
    <w:rsid w:val="006923EA"/>
    <w:rsid w:val="00692799"/>
    <w:rsid w:val="00692A0D"/>
    <w:rsid w:val="00693077"/>
    <w:rsid w:val="00693295"/>
    <w:rsid w:val="00693CBF"/>
    <w:rsid w:val="00693D56"/>
    <w:rsid w:val="0069447C"/>
    <w:rsid w:val="00694653"/>
    <w:rsid w:val="00694B21"/>
    <w:rsid w:val="00697C52"/>
    <w:rsid w:val="006A0275"/>
    <w:rsid w:val="006A104F"/>
    <w:rsid w:val="006A16A7"/>
    <w:rsid w:val="006A194C"/>
    <w:rsid w:val="006A2196"/>
    <w:rsid w:val="006A2347"/>
    <w:rsid w:val="006A24B3"/>
    <w:rsid w:val="006A45D8"/>
    <w:rsid w:val="006A49B5"/>
    <w:rsid w:val="006A4B42"/>
    <w:rsid w:val="006A57F2"/>
    <w:rsid w:val="006A67A3"/>
    <w:rsid w:val="006A6B69"/>
    <w:rsid w:val="006A71CA"/>
    <w:rsid w:val="006B0BF1"/>
    <w:rsid w:val="006B19B2"/>
    <w:rsid w:val="006B1DA2"/>
    <w:rsid w:val="006B1F5F"/>
    <w:rsid w:val="006B40D9"/>
    <w:rsid w:val="006B5527"/>
    <w:rsid w:val="006C09DD"/>
    <w:rsid w:val="006C2752"/>
    <w:rsid w:val="006C2EAE"/>
    <w:rsid w:val="006C34A1"/>
    <w:rsid w:val="006C375B"/>
    <w:rsid w:val="006C3BA0"/>
    <w:rsid w:val="006C44D3"/>
    <w:rsid w:val="006C4B11"/>
    <w:rsid w:val="006C50C3"/>
    <w:rsid w:val="006C57EC"/>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512D"/>
    <w:rsid w:val="006E7496"/>
    <w:rsid w:val="006E7969"/>
    <w:rsid w:val="006F004E"/>
    <w:rsid w:val="006F0C12"/>
    <w:rsid w:val="006F0EB1"/>
    <w:rsid w:val="006F0FC7"/>
    <w:rsid w:val="006F314D"/>
    <w:rsid w:val="006F69CC"/>
    <w:rsid w:val="006F7E42"/>
    <w:rsid w:val="0070023A"/>
    <w:rsid w:val="00700991"/>
    <w:rsid w:val="0070193E"/>
    <w:rsid w:val="007031FA"/>
    <w:rsid w:val="007036E5"/>
    <w:rsid w:val="0070567F"/>
    <w:rsid w:val="007059CA"/>
    <w:rsid w:val="0071038F"/>
    <w:rsid w:val="00710994"/>
    <w:rsid w:val="00710D10"/>
    <w:rsid w:val="00710D33"/>
    <w:rsid w:val="007118DC"/>
    <w:rsid w:val="00711AE4"/>
    <w:rsid w:val="007135F6"/>
    <w:rsid w:val="0071374D"/>
    <w:rsid w:val="0071649C"/>
    <w:rsid w:val="00716A16"/>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EC4"/>
    <w:rsid w:val="00736702"/>
    <w:rsid w:val="007377ED"/>
    <w:rsid w:val="0074108B"/>
    <w:rsid w:val="007420C9"/>
    <w:rsid w:val="0074369F"/>
    <w:rsid w:val="00744055"/>
    <w:rsid w:val="0074576E"/>
    <w:rsid w:val="00747446"/>
    <w:rsid w:val="00747F05"/>
    <w:rsid w:val="0075172E"/>
    <w:rsid w:val="00751BCA"/>
    <w:rsid w:val="00752EFE"/>
    <w:rsid w:val="00752FE7"/>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6963"/>
    <w:rsid w:val="00787736"/>
    <w:rsid w:val="00787A55"/>
    <w:rsid w:val="00787FF1"/>
    <w:rsid w:val="007916D2"/>
    <w:rsid w:val="00791A85"/>
    <w:rsid w:val="00792ECC"/>
    <w:rsid w:val="00793068"/>
    <w:rsid w:val="007939C7"/>
    <w:rsid w:val="00794F94"/>
    <w:rsid w:val="00794FF5"/>
    <w:rsid w:val="00795953"/>
    <w:rsid w:val="00795FD0"/>
    <w:rsid w:val="007960E2"/>
    <w:rsid w:val="00797FC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B78A7"/>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6288"/>
    <w:rsid w:val="007E763B"/>
    <w:rsid w:val="007F05E0"/>
    <w:rsid w:val="007F0DD3"/>
    <w:rsid w:val="007F2141"/>
    <w:rsid w:val="007F2DBB"/>
    <w:rsid w:val="007F2ED4"/>
    <w:rsid w:val="007F3FB0"/>
    <w:rsid w:val="007F5D4A"/>
    <w:rsid w:val="007F6562"/>
    <w:rsid w:val="007F65BD"/>
    <w:rsid w:val="007F65F2"/>
    <w:rsid w:val="007F7070"/>
    <w:rsid w:val="007F7864"/>
    <w:rsid w:val="00800184"/>
    <w:rsid w:val="008012E7"/>
    <w:rsid w:val="00801838"/>
    <w:rsid w:val="00802AB6"/>
    <w:rsid w:val="0080309D"/>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73E0"/>
    <w:rsid w:val="00820A96"/>
    <w:rsid w:val="0082145A"/>
    <w:rsid w:val="00822CF3"/>
    <w:rsid w:val="008230C1"/>
    <w:rsid w:val="008237B2"/>
    <w:rsid w:val="0082415F"/>
    <w:rsid w:val="0082445A"/>
    <w:rsid w:val="00824C69"/>
    <w:rsid w:val="00825BA4"/>
    <w:rsid w:val="00825F3A"/>
    <w:rsid w:val="00830A33"/>
    <w:rsid w:val="00831C08"/>
    <w:rsid w:val="00832C18"/>
    <w:rsid w:val="00834512"/>
    <w:rsid w:val="00835B82"/>
    <w:rsid w:val="0083657B"/>
    <w:rsid w:val="00836C67"/>
    <w:rsid w:val="00840062"/>
    <w:rsid w:val="00840634"/>
    <w:rsid w:val="00840A81"/>
    <w:rsid w:val="00840D24"/>
    <w:rsid w:val="00842061"/>
    <w:rsid w:val="00842D2C"/>
    <w:rsid w:val="00843AFD"/>
    <w:rsid w:val="00843BA1"/>
    <w:rsid w:val="008444F8"/>
    <w:rsid w:val="00845F51"/>
    <w:rsid w:val="00846467"/>
    <w:rsid w:val="00847991"/>
    <w:rsid w:val="00847C4E"/>
    <w:rsid w:val="008511A7"/>
    <w:rsid w:val="00853E65"/>
    <w:rsid w:val="00854983"/>
    <w:rsid w:val="008569DF"/>
    <w:rsid w:val="00856E4A"/>
    <w:rsid w:val="00857AF0"/>
    <w:rsid w:val="0086037F"/>
    <w:rsid w:val="00861454"/>
    <w:rsid w:val="00861B41"/>
    <w:rsid w:val="00861DA1"/>
    <w:rsid w:val="00862173"/>
    <w:rsid w:val="008626B0"/>
    <w:rsid w:val="00863222"/>
    <w:rsid w:val="0086343B"/>
    <w:rsid w:val="00865DE1"/>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3004"/>
    <w:rsid w:val="008834EE"/>
    <w:rsid w:val="00883ED6"/>
    <w:rsid w:val="0088579F"/>
    <w:rsid w:val="00887771"/>
    <w:rsid w:val="00890223"/>
    <w:rsid w:val="008907B2"/>
    <w:rsid w:val="008922DF"/>
    <w:rsid w:val="00892367"/>
    <w:rsid w:val="008A0473"/>
    <w:rsid w:val="008A1F46"/>
    <w:rsid w:val="008A24BD"/>
    <w:rsid w:val="008A2884"/>
    <w:rsid w:val="008A36ED"/>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C2453"/>
    <w:rsid w:val="008C463B"/>
    <w:rsid w:val="008C55A8"/>
    <w:rsid w:val="008C5ADE"/>
    <w:rsid w:val="008C69CD"/>
    <w:rsid w:val="008C70EB"/>
    <w:rsid w:val="008C74CC"/>
    <w:rsid w:val="008C7F77"/>
    <w:rsid w:val="008D13DC"/>
    <w:rsid w:val="008D1E23"/>
    <w:rsid w:val="008D2246"/>
    <w:rsid w:val="008D2461"/>
    <w:rsid w:val="008D26B7"/>
    <w:rsid w:val="008D2A6A"/>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4B00"/>
    <w:rsid w:val="008E5D5A"/>
    <w:rsid w:val="008E61DD"/>
    <w:rsid w:val="008E6795"/>
    <w:rsid w:val="008F01AB"/>
    <w:rsid w:val="008F08BE"/>
    <w:rsid w:val="008F0A95"/>
    <w:rsid w:val="008F1870"/>
    <w:rsid w:val="008F3DC9"/>
    <w:rsid w:val="008F4107"/>
    <w:rsid w:val="008F45BE"/>
    <w:rsid w:val="008F46CF"/>
    <w:rsid w:val="008F485E"/>
    <w:rsid w:val="008F4BFE"/>
    <w:rsid w:val="008F5773"/>
    <w:rsid w:val="008F595E"/>
    <w:rsid w:val="008F5ADE"/>
    <w:rsid w:val="008F6982"/>
    <w:rsid w:val="0090026B"/>
    <w:rsid w:val="00900439"/>
    <w:rsid w:val="00900AF2"/>
    <w:rsid w:val="00901845"/>
    <w:rsid w:val="00902B59"/>
    <w:rsid w:val="00902F92"/>
    <w:rsid w:val="00903281"/>
    <w:rsid w:val="00903DB3"/>
    <w:rsid w:val="009045C7"/>
    <w:rsid w:val="00904AC6"/>
    <w:rsid w:val="009067B8"/>
    <w:rsid w:val="00906C4C"/>
    <w:rsid w:val="00906EED"/>
    <w:rsid w:val="0090715C"/>
    <w:rsid w:val="009077AD"/>
    <w:rsid w:val="009108A7"/>
    <w:rsid w:val="00911C72"/>
    <w:rsid w:val="00911E1A"/>
    <w:rsid w:val="009123B9"/>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7A7"/>
    <w:rsid w:val="009548C3"/>
    <w:rsid w:val="0095506D"/>
    <w:rsid w:val="009555E2"/>
    <w:rsid w:val="00956330"/>
    <w:rsid w:val="00957D9C"/>
    <w:rsid w:val="009602DE"/>
    <w:rsid w:val="00961060"/>
    <w:rsid w:val="009612F1"/>
    <w:rsid w:val="009654F0"/>
    <w:rsid w:val="00970D5D"/>
    <w:rsid w:val="00970F7A"/>
    <w:rsid w:val="00971EC5"/>
    <w:rsid w:val="00971FCC"/>
    <w:rsid w:val="00972395"/>
    <w:rsid w:val="0097298A"/>
    <w:rsid w:val="00974182"/>
    <w:rsid w:val="00974ED4"/>
    <w:rsid w:val="00975D50"/>
    <w:rsid w:val="009778AB"/>
    <w:rsid w:val="00977962"/>
    <w:rsid w:val="00981D40"/>
    <w:rsid w:val="00982AB4"/>
    <w:rsid w:val="00983061"/>
    <w:rsid w:val="00983223"/>
    <w:rsid w:val="00983AA4"/>
    <w:rsid w:val="00983F26"/>
    <w:rsid w:val="00984206"/>
    <w:rsid w:val="00984C41"/>
    <w:rsid w:val="00984DE1"/>
    <w:rsid w:val="0098511E"/>
    <w:rsid w:val="0098541D"/>
    <w:rsid w:val="009871CF"/>
    <w:rsid w:val="009879B5"/>
    <w:rsid w:val="00991F39"/>
    <w:rsid w:val="009922CC"/>
    <w:rsid w:val="009930C0"/>
    <w:rsid w:val="009942BB"/>
    <w:rsid w:val="0099467F"/>
    <w:rsid w:val="00996032"/>
    <w:rsid w:val="00996A8B"/>
    <w:rsid w:val="009A0212"/>
    <w:rsid w:val="009A031F"/>
    <w:rsid w:val="009A2063"/>
    <w:rsid w:val="009A4EF5"/>
    <w:rsid w:val="009A637B"/>
    <w:rsid w:val="009A67FE"/>
    <w:rsid w:val="009B003C"/>
    <w:rsid w:val="009B1D42"/>
    <w:rsid w:val="009B3745"/>
    <w:rsid w:val="009B457E"/>
    <w:rsid w:val="009B7805"/>
    <w:rsid w:val="009C00EF"/>
    <w:rsid w:val="009C1600"/>
    <w:rsid w:val="009C1E13"/>
    <w:rsid w:val="009C1E70"/>
    <w:rsid w:val="009C281C"/>
    <w:rsid w:val="009C3A56"/>
    <w:rsid w:val="009C520B"/>
    <w:rsid w:val="009C5874"/>
    <w:rsid w:val="009C6768"/>
    <w:rsid w:val="009C6894"/>
    <w:rsid w:val="009C6B3B"/>
    <w:rsid w:val="009C6B7B"/>
    <w:rsid w:val="009D22EA"/>
    <w:rsid w:val="009D3A5C"/>
    <w:rsid w:val="009D4303"/>
    <w:rsid w:val="009D4A8E"/>
    <w:rsid w:val="009D5293"/>
    <w:rsid w:val="009D56B4"/>
    <w:rsid w:val="009D62E7"/>
    <w:rsid w:val="009D685B"/>
    <w:rsid w:val="009D7BDB"/>
    <w:rsid w:val="009E10CF"/>
    <w:rsid w:val="009E1F70"/>
    <w:rsid w:val="009E2CF5"/>
    <w:rsid w:val="009E2F97"/>
    <w:rsid w:val="009E3790"/>
    <w:rsid w:val="009E457F"/>
    <w:rsid w:val="009E4847"/>
    <w:rsid w:val="009E71F6"/>
    <w:rsid w:val="009F0CD1"/>
    <w:rsid w:val="009F187B"/>
    <w:rsid w:val="009F1B44"/>
    <w:rsid w:val="009F41D6"/>
    <w:rsid w:val="009F4375"/>
    <w:rsid w:val="009F4F05"/>
    <w:rsid w:val="009F535B"/>
    <w:rsid w:val="00A00990"/>
    <w:rsid w:val="00A01087"/>
    <w:rsid w:val="00A0453E"/>
    <w:rsid w:val="00A055D3"/>
    <w:rsid w:val="00A07654"/>
    <w:rsid w:val="00A07B16"/>
    <w:rsid w:val="00A10B48"/>
    <w:rsid w:val="00A1105C"/>
    <w:rsid w:val="00A11ACA"/>
    <w:rsid w:val="00A11E0F"/>
    <w:rsid w:val="00A1213F"/>
    <w:rsid w:val="00A12206"/>
    <w:rsid w:val="00A12BEE"/>
    <w:rsid w:val="00A13052"/>
    <w:rsid w:val="00A13064"/>
    <w:rsid w:val="00A136E6"/>
    <w:rsid w:val="00A13715"/>
    <w:rsid w:val="00A145D0"/>
    <w:rsid w:val="00A157EC"/>
    <w:rsid w:val="00A17345"/>
    <w:rsid w:val="00A1789B"/>
    <w:rsid w:val="00A17AB9"/>
    <w:rsid w:val="00A205BF"/>
    <w:rsid w:val="00A2104B"/>
    <w:rsid w:val="00A210E9"/>
    <w:rsid w:val="00A21AAA"/>
    <w:rsid w:val="00A24329"/>
    <w:rsid w:val="00A2470A"/>
    <w:rsid w:val="00A2481C"/>
    <w:rsid w:val="00A2534F"/>
    <w:rsid w:val="00A2569C"/>
    <w:rsid w:val="00A266CC"/>
    <w:rsid w:val="00A26883"/>
    <w:rsid w:val="00A26F3C"/>
    <w:rsid w:val="00A2708D"/>
    <w:rsid w:val="00A27880"/>
    <w:rsid w:val="00A30BAE"/>
    <w:rsid w:val="00A30F8C"/>
    <w:rsid w:val="00A314A9"/>
    <w:rsid w:val="00A31591"/>
    <w:rsid w:val="00A321EE"/>
    <w:rsid w:val="00A325C2"/>
    <w:rsid w:val="00A32C37"/>
    <w:rsid w:val="00A33535"/>
    <w:rsid w:val="00A353D7"/>
    <w:rsid w:val="00A4339C"/>
    <w:rsid w:val="00A44E28"/>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247A"/>
    <w:rsid w:val="00A62846"/>
    <w:rsid w:val="00A6360D"/>
    <w:rsid w:val="00A63872"/>
    <w:rsid w:val="00A63A37"/>
    <w:rsid w:val="00A64871"/>
    <w:rsid w:val="00A64D3D"/>
    <w:rsid w:val="00A67A8E"/>
    <w:rsid w:val="00A708F2"/>
    <w:rsid w:val="00A70A35"/>
    <w:rsid w:val="00A7141F"/>
    <w:rsid w:val="00A74E04"/>
    <w:rsid w:val="00A74F6C"/>
    <w:rsid w:val="00A75212"/>
    <w:rsid w:val="00A75A0A"/>
    <w:rsid w:val="00A7634B"/>
    <w:rsid w:val="00A76A52"/>
    <w:rsid w:val="00A7735F"/>
    <w:rsid w:val="00A8221B"/>
    <w:rsid w:val="00A83BF1"/>
    <w:rsid w:val="00A84298"/>
    <w:rsid w:val="00A844F4"/>
    <w:rsid w:val="00A8450A"/>
    <w:rsid w:val="00A849A0"/>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5A4"/>
    <w:rsid w:val="00AA2CD8"/>
    <w:rsid w:val="00AA30A2"/>
    <w:rsid w:val="00AA3409"/>
    <w:rsid w:val="00AA43A2"/>
    <w:rsid w:val="00AA630A"/>
    <w:rsid w:val="00AA69EF"/>
    <w:rsid w:val="00AA6F9A"/>
    <w:rsid w:val="00AB02C8"/>
    <w:rsid w:val="00AB102D"/>
    <w:rsid w:val="00AB115E"/>
    <w:rsid w:val="00AB1276"/>
    <w:rsid w:val="00AB1531"/>
    <w:rsid w:val="00AB1A33"/>
    <w:rsid w:val="00AB2857"/>
    <w:rsid w:val="00AB3299"/>
    <w:rsid w:val="00AB3A07"/>
    <w:rsid w:val="00AB3E16"/>
    <w:rsid w:val="00AB45E1"/>
    <w:rsid w:val="00AB47F7"/>
    <w:rsid w:val="00AB53BA"/>
    <w:rsid w:val="00AB555E"/>
    <w:rsid w:val="00AB5726"/>
    <w:rsid w:val="00AB583A"/>
    <w:rsid w:val="00AB71C8"/>
    <w:rsid w:val="00AB76D5"/>
    <w:rsid w:val="00AB78AC"/>
    <w:rsid w:val="00AC1904"/>
    <w:rsid w:val="00AC3431"/>
    <w:rsid w:val="00AC4D53"/>
    <w:rsid w:val="00AC63F4"/>
    <w:rsid w:val="00AC7107"/>
    <w:rsid w:val="00AD0463"/>
    <w:rsid w:val="00AD163D"/>
    <w:rsid w:val="00AD1DFE"/>
    <w:rsid w:val="00AD2D96"/>
    <w:rsid w:val="00AD30EA"/>
    <w:rsid w:val="00AD3BEC"/>
    <w:rsid w:val="00AD4E04"/>
    <w:rsid w:val="00AD732B"/>
    <w:rsid w:val="00AD7927"/>
    <w:rsid w:val="00AD7D3D"/>
    <w:rsid w:val="00AE174B"/>
    <w:rsid w:val="00AE2205"/>
    <w:rsid w:val="00AE3261"/>
    <w:rsid w:val="00AE3AC0"/>
    <w:rsid w:val="00AE4557"/>
    <w:rsid w:val="00AE4A1F"/>
    <w:rsid w:val="00AE5E95"/>
    <w:rsid w:val="00AE6433"/>
    <w:rsid w:val="00AE6584"/>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A4C"/>
    <w:rsid w:val="00B037CE"/>
    <w:rsid w:val="00B03D26"/>
    <w:rsid w:val="00B04D36"/>
    <w:rsid w:val="00B04F11"/>
    <w:rsid w:val="00B05688"/>
    <w:rsid w:val="00B0568B"/>
    <w:rsid w:val="00B05C37"/>
    <w:rsid w:val="00B070ED"/>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3396B"/>
    <w:rsid w:val="00B33D92"/>
    <w:rsid w:val="00B40D73"/>
    <w:rsid w:val="00B430D3"/>
    <w:rsid w:val="00B437BD"/>
    <w:rsid w:val="00B439FA"/>
    <w:rsid w:val="00B4485B"/>
    <w:rsid w:val="00B4783F"/>
    <w:rsid w:val="00B47CEF"/>
    <w:rsid w:val="00B5058C"/>
    <w:rsid w:val="00B5213C"/>
    <w:rsid w:val="00B523FF"/>
    <w:rsid w:val="00B529EE"/>
    <w:rsid w:val="00B53F9B"/>
    <w:rsid w:val="00B553CF"/>
    <w:rsid w:val="00B566E0"/>
    <w:rsid w:val="00B5685D"/>
    <w:rsid w:val="00B56975"/>
    <w:rsid w:val="00B57861"/>
    <w:rsid w:val="00B57FFD"/>
    <w:rsid w:val="00B60751"/>
    <w:rsid w:val="00B60E6E"/>
    <w:rsid w:val="00B61380"/>
    <w:rsid w:val="00B613BB"/>
    <w:rsid w:val="00B6418E"/>
    <w:rsid w:val="00B64484"/>
    <w:rsid w:val="00B6498D"/>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DF6"/>
    <w:rsid w:val="00B904E9"/>
    <w:rsid w:val="00B909A9"/>
    <w:rsid w:val="00B91BBE"/>
    <w:rsid w:val="00B91F8C"/>
    <w:rsid w:val="00B93BC8"/>
    <w:rsid w:val="00B93C36"/>
    <w:rsid w:val="00B94054"/>
    <w:rsid w:val="00B94253"/>
    <w:rsid w:val="00B94C19"/>
    <w:rsid w:val="00B94E51"/>
    <w:rsid w:val="00B950E8"/>
    <w:rsid w:val="00B954FC"/>
    <w:rsid w:val="00B96137"/>
    <w:rsid w:val="00B96CF0"/>
    <w:rsid w:val="00B977E6"/>
    <w:rsid w:val="00B978EC"/>
    <w:rsid w:val="00BA1DA0"/>
    <w:rsid w:val="00BA2729"/>
    <w:rsid w:val="00BA283C"/>
    <w:rsid w:val="00BA2AEB"/>
    <w:rsid w:val="00BA40BE"/>
    <w:rsid w:val="00BA48E0"/>
    <w:rsid w:val="00BA5EFB"/>
    <w:rsid w:val="00BA659A"/>
    <w:rsid w:val="00BA68C1"/>
    <w:rsid w:val="00BA7EB0"/>
    <w:rsid w:val="00BB0528"/>
    <w:rsid w:val="00BB3F4C"/>
    <w:rsid w:val="00BB68E2"/>
    <w:rsid w:val="00BB7010"/>
    <w:rsid w:val="00BB724B"/>
    <w:rsid w:val="00BC16BF"/>
    <w:rsid w:val="00BC201A"/>
    <w:rsid w:val="00BC38B8"/>
    <w:rsid w:val="00BC44DA"/>
    <w:rsid w:val="00BC462F"/>
    <w:rsid w:val="00BC485A"/>
    <w:rsid w:val="00BC5387"/>
    <w:rsid w:val="00BC559D"/>
    <w:rsid w:val="00BC5F3D"/>
    <w:rsid w:val="00BC7E2C"/>
    <w:rsid w:val="00BD06EA"/>
    <w:rsid w:val="00BD082C"/>
    <w:rsid w:val="00BD0FC4"/>
    <w:rsid w:val="00BD140B"/>
    <w:rsid w:val="00BD2A08"/>
    <w:rsid w:val="00BD37C6"/>
    <w:rsid w:val="00BD386B"/>
    <w:rsid w:val="00BD3C69"/>
    <w:rsid w:val="00BD3D7A"/>
    <w:rsid w:val="00BD653B"/>
    <w:rsid w:val="00BD689C"/>
    <w:rsid w:val="00BD7D16"/>
    <w:rsid w:val="00BD7F9E"/>
    <w:rsid w:val="00BE1424"/>
    <w:rsid w:val="00BE1A06"/>
    <w:rsid w:val="00BE1AB0"/>
    <w:rsid w:val="00BE2A41"/>
    <w:rsid w:val="00BE3C01"/>
    <w:rsid w:val="00BE42A3"/>
    <w:rsid w:val="00BE5DE0"/>
    <w:rsid w:val="00BE65B3"/>
    <w:rsid w:val="00BE7856"/>
    <w:rsid w:val="00BF056D"/>
    <w:rsid w:val="00BF10D2"/>
    <w:rsid w:val="00BF120B"/>
    <w:rsid w:val="00BF25FB"/>
    <w:rsid w:val="00BF2717"/>
    <w:rsid w:val="00BF31CB"/>
    <w:rsid w:val="00BF4B69"/>
    <w:rsid w:val="00BF60E3"/>
    <w:rsid w:val="00BF616A"/>
    <w:rsid w:val="00BF6219"/>
    <w:rsid w:val="00BF6463"/>
    <w:rsid w:val="00BF6B4D"/>
    <w:rsid w:val="00BF70A1"/>
    <w:rsid w:val="00BF7D43"/>
    <w:rsid w:val="00C00F89"/>
    <w:rsid w:val="00C0444C"/>
    <w:rsid w:val="00C057E0"/>
    <w:rsid w:val="00C05C20"/>
    <w:rsid w:val="00C0606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30D3F"/>
    <w:rsid w:val="00C30DAA"/>
    <w:rsid w:val="00C30F1F"/>
    <w:rsid w:val="00C31089"/>
    <w:rsid w:val="00C319A2"/>
    <w:rsid w:val="00C31E5B"/>
    <w:rsid w:val="00C3208A"/>
    <w:rsid w:val="00C34436"/>
    <w:rsid w:val="00C34C05"/>
    <w:rsid w:val="00C3566B"/>
    <w:rsid w:val="00C35B23"/>
    <w:rsid w:val="00C37050"/>
    <w:rsid w:val="00C37DA5"/>
    <w:rsid w:val="00C4018E"/>
    <w:rsid w:val="00C42B07"/>
    <w:rsid w:val="00C4367E"/>
    <w:rsid w:val="00C447FB"/>
    <w:rsid w:val="00C44B54"/>
    <w:rsid w:val="00C46B49"/>
    <w:rsid w:val="00C46BA2"/>
    <w:rsid w:val="00C47AE8"/>
    <w:rsid w:val="00C47B85"/>
    <w:rsid w:val="00C47FDB"/>
    <w:rsid w:val="00C508E2"/>
    <w:rsid w:val="00C518CB"/>
    <w:rsid w:val="00C5257E"/>
    <w:rsid w:val="00C54C62"/>
    <w:rsid w:val="00C55143"/>
    <w:rsid w:val="00C560EC"/>
    <w:rsid w:val="00C56EE1"/>
    <w:rsid w:val="00C57CC6"/>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781D"/>
    <w:rsid w:val="00C905AC"/>
    <w:rsid w:val="00C907C0"/>
    <w:rsid w:val="00C90987"/>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68D"/>
    <w:rsid w:val="00CD1FFD"/>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6AD5"/>
    <w:rsid w:val="00CE76BD"/>
    <w:rsid w:val="00CF02AC"/>
    <w:rsid w:val="00CF06E6"/>
    <w:rsid w:val="00CF0ED8"/>
    <w:rsid w:val="00CF17D1"/>
    <w:rsid w:val="00CF1D9E"/>
    <w:rsid w:val="00CF2639"/>
    <w:rsid w:val="00CF2C8A"/>
    <w:rsid w:val="00CF3F01"/>
    <w:rsid w:val="00CF6AF3"/>
    <w:rsid w:val="00CF782B"/>
    <w:rsid w:val="00D017EE"/>
    <w:rsid w:val="00D019AF"/>
    <w:rsid w:val="00D02369"/>
    <w:rsid w:val="00D02C36"/>
    <w:rsid w:val="00D03AF3"/>
    <w:rsid w:val="00D04C29"/>
    <w:rsid w:val="00D04F67"/>
    <w:rsid w:val="00D04FC8"/>
    <w:rsid w:val="00D051B3"/>
    <w:rsid w:val="00D05FD4"/>
    <w:rsid w:val="00D06088"/>
    <w:rsid w:val="00D0675C"/>
    <w:rsid w:val="00D06800"/>
    <w:rsid w:val="00D10A2D"/>
    <w:rsid w:val="00D11873"/>
    <w:rsid w:val="00D13880"/>
    <w:rsid w:val="00D14204"/>
    <w:rsid w:val="00D1624D"/>
    <w:rsid w:val="00D16573"/>
    <w:rsid w:val="00D172CB"/>
    <w:rsid w:val="00D17E88"/>
    <w:rsid w:val="00D201BA"/>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610A"/>
    <w:rsid w:val="00D36E4F"/>
    <w:rsid w:val="00D4074C"/>
    <w:rsid w:val="00D40AD0"/>
    <w:rsid w:val="00D40F27"/>
    <w:rsid w:val="00D41A13"/>
    <w:rsid w:val="00D422E4"/>
    <w:rsid w:val="00D44A5C"/>
    <w:rsid w:val="00D44FFD"/>
    <w:rsid w:val="00D45FFE"/>
    <w:rsid w:val="00D46F2D"/>
    <w:rsid w:val="00D475CC"/>
    <w:rsid w:val="00D50F95"/>
    <w:rsid w:val="00D51565"/>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53E4"/>
    <w:rsid w:val="00D75465"/>
    <w:rsid w:val="00D75843"/>
    <w:rsid w:val="00D76E83"/>
    <w:rsid w:val="00D8036A"/>
    <w:rsid w:val="00D80C50"/>
    <w:rsid w:val="00D81307"/>
    <w:rsid w:val="00D820F3"/>
    <w:rsid w:val="00D8259F"/>
    <w:rsid w:val="00D84268"/>
    <w:rsid w:val="00D86DFD"/>
    <w:rsid w:val="00D8778A"/>
    <w:rsid w:val="00D9120D"/>
    <w:rsid w:val="00D912DF"/>
    <w:rsid w:val="00D92265"/>
    <w:rsid w:val="00D9230B"/>
    <w:rsid w:val="00D92C13"/>
    <w:rsid w:val="00D94FF3"/>
    <w:rsid w:val="00D957C0"/>
    <w:rsid w:val="00D957EF"/>
    <w:rsid w:val="00D95BFF"/>
    <w:rsid w:val="00D963AD"/>
    <w:rsid w:val="00D96C97"/>
    <w:rsid w:val="00D9766A"/>
    <w:rsid w:val="00DA0FC0"/>
    <w:rsid w:val="00DA1D80"/>
    <w:rsid w:val="00DA2046"/>
    <w:rsid w:val="00DA21B0"/>
    <w:rsid w:val="00DA26C2"/>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21CF"/>
    <w:rsid w:val="00DE3681"/>
    <w:rsid w:val="00DE3E7C"/>
    <w:rsid w:val="00DE4664"/>
    <w:rsid w:val="00DE72CF"/>
    <w:rsid w:val="00DF0250"/>
    <w:rsid w:val="00DF02EC"/>
    <w:rsid w:val="00DF32AF"/>
    <w:rsid w:val="00DF4F19"/>
    <w:rsid w:val="00DF5270"/>
    <w:rsid w:val="00DF5C56"/>
    <w:rsid w:val="00DF6945"/>
    <w:rsid w:val="00E028E6"/>
    <w:rsid w:val="00E03509"/>
    <w:rsid w:val="00E046C1"/>
    <w:rsid w:val="00E04A81"/>
    <w:rsid w:val="00E05BC5"/>
    <w:rsid w:val="00E06AF4"/>
    <w:rsid w:val="00E07E45"/>
    <w:rsid w:val="00E12986"/>
    <w:rsid w:val="00E1313A"/>
    <w:rsid w:val="00E139D0"/>
    <w:rsid w:val="00E13D59"/>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606E"/>
    <w:rsid w:val="00E274CE"/>
    <w:rsid w:val="00E320DC"/>
    <w:rsid w:val="00E322EE"/>
    <w:rsid w:val="00E3253F"/>
    <w:rsid w:val="00E32A8B"/>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BDA"/>
    <w:rsid w:val="00E564C5"/>
    <w:rsid w:val="00E573E4"/>
    <w:rsid w:val="00E57B42"/>
    <w:rsid w:val="00E6252F"/>
    <w:rsid w:val="00E64B31"/>
    <w:rsid w:val="00E66A1C"/>
    <w:rsid w:val="00E67385"/>
    <w:rsid w:val="00E705E5"/>
    <w:rsid w:val="00E70B0C"/>
    <w:rsid w:val="00E723D3"/>
    <w:rsid w:val="00E72ECC"/>
    <w:rsid w:val="00E73E01"/>
    <w:rsid w:val="00E7492A"/>
    <w:rsid w:val="00E80B3E"/>
    <w:rsid w:val="00E83280"/>
    <w:rsid w:val="00E832C9"/>
    <w:rsid w:val="00E83B72"/>
    <w:rsid w:val="00E83E6E"/>
    <w:rsid w:val="00E85483"/>
    <w:rsid w:val="00E87AE6"/>
    <w:rsid w:val="00E90035"/>
    <w:rsid w:val="00E9147C"/>
    <w:rsid w:val="00E91BF2"/>
    <w:rsid w:val="00E9212B"/>
    <w:rsid w:val="00E92F0A"/>
    <w:rsid w:val="00E93159"/>
    <w:rsid w:val="00E93A7A"/>
    <w:rsid w:val="00E93B3D"/>
    <w:rsid w:val="00E94307"/>
    <w:rsid w:val="00E943EB"/>
    <w:rsid w:val="00E94762"/>
    <w:rsid w:val="00E956A7"/>
    <w:rsid w:val="00E9627E"/>
    <w:rsid w:val="00E96460"/>
    <w:rsid w:val="00E96BF4"/>
    <w:rsid w:val="00E96FBC"/>
    <w:rsid w:val="00E972C9"/>
    <w:rsid w:val="00E9738B"/>
    <w:rsid w:val="00E97788"/>
    <w:rsid w:val="00EA0184"/>
    <w:rsid w:val="00EA0281"/>
    <w:rsid w:val="00EA0BD3"/>
    <w:rsid w:val="00EA0BFA"/>
    <w:rsid w:val="00EA0E05"/>
    <w:rsid w:val="00EA1201"/>
    <w:rsid w:val="00EA2517"/>
    <w:rsid w:val="00EA2730"/>
    <w:rsid w:val="00EB0816"/>
    <w:rsid w:val="00EB0C61"/>
    <w:rsid w:val="00EB1CC5"/>
    <w:rsid w:val="00EB2435"/>
    <w:rsid w:val="00EB27E8"/>
    <w:rsid w:val="00EB3495"/>
    <w:rsid w:val="00EB534C"/>
    <w:rsid w:val="00EB692A"/>
    <w:rsid w:val="00EB71AA"/>
    <w:rsid w:val="00EB7C92"/>
    <w:rsid w:val="00EB7E4D"/>
    <w:rsid w:val="00EC09DD"/>
    <w:rsid w:val="00EC2772"/>
    <w:rsid w:val="00EC36DD"/>
    <w:rsid w:val="00EC555C"/>
    <w:rsid w:val="00EC6337"/>
    <w:rsid w:val="00EC712C"/>
    <w:rsid w:val="00EC7DE5"/>
    <w:rsid w:val="00ED0DE8"/>
    <w:rsid w:val="00ED1473"/>
    <w:rsid w:val="00ED1840"/>
    <w:rsid w:val="00ED327A"/>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F000F0"/>
    <w:rsid w:val="00F00923"/>
    <w:rsid w:val="00F00C9D"/>
    <w:rsid w:val="00F00FB6"/>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20046"/>
    <w:rsid w:val="00F2025A"/>
    <w:rsid w:val="00F206FE"/>
    <w:rsid w:val="00F21048"/>
    <w:rsid w:val="00F218EF"/>
    <w:rsid w:val="00F223E8"/>
    <w:rsid w:val="00F22B6B"/>
    <w:rsid w:val="00F2357F"/>
    <w:rsid w:val="00F2479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38BF"/>
    <w:rsid w:val="00F346BC"/>
    <w:rsid w:val="00F3521B"/>
    <w:rsid w:val="00F35561"/>
    <w:rsid w:val="00F35858"/>
    <w:rsid w:val="00F35865"/>
    <w:rsid w:val="00F37922"/>
    <w:rsid w:val="00F4113B"/>
    <w:rsid w:val="00F42AD2"/>
    <w:rsid w:val="00F42C2B"/>
    <w:rsid w:val="00F44833"/>
    <w:rsid w:val="00F44FCD"/>
    <w:rsid w:val="00F45285"/>
    <w:rsid w:val="00F46A8C"/>
    <w:rsid w:val="00F474E8"/>
    <w:rsid w:val="00F47AFE"/>
    <w:rsid w:val="00F47F37"/>
    <w:rsid w:val="00F50020"/>
    <w:rsid w:val="00F50151"/>
    <w:rsid w:val="00F50849"/>
    <w:rsid w:val="00F51A26"/>
    <w:rsid w:val="00F52A4B"/>
    <w:rsid w:val="00F542D8"/>
    <w:rsid w:val="00F548C8"/>
    <w:rsid w:val="00F54F39"/>
    <w:rsid w:val="00F55293"/>
    <w:rsid w:val="00F56D17"/>
    <w:rsid w:val="00F5765A"/>
    <w:rsid w:val="00F57916"/>
    <w:rsid w:val="00F57C72"/>
    <w:rsid w:val="00F61564"/>
    <w:rsid w:val="00F61931"/>
    <w:rsid w:val="00F61FDE"/>
    <w:rsid w:val="00F64966"/>
    <w:rsid w:val="00F64A72"/>
    <w:rsid w:val="00F669E3"/>
    <w:rsid w:val="00F66D87"/>
    <w:rsid w:val="00F70CDD"/>
    <w:rsid w:val="00F71F79"/>
    <w:rsid w:val="00F721A1"/>
    <w:rsid w:val="00F724E3"/>
    <w:rsid w:val="00F72E05"/>
    <w:rsid w:val="00F74A7A"/>
    <w:rsid w:val="00F7547C"/>
    <w:rsid w:val="00F7611A"/>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C15"/>
    <w:rsid w:val="00F90391"/>
    <w:rsid w:val="00F9046C"/>
    <w:rsid w:val="00F90C86"/>
    <w:rsid w:val="00F915AB"/>
    <w:rsid w:val="00F91B5F"/>
    <w:rsid w:val="00F91DAC"/>
    <w:rsid w:val="00F91F7B"/>
    <w:rsid w:val="00F92174"/>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6884"/>
    <w:rsid w:val="00FB76A5"/>
    <w:rsid w:val="00FC029D"/>
    <w:rsid w:val="00FC1859"/>
    <w:rsid w:val="00FC2691"/>
    <w:rsid w:val="00FC2742"/>
    <w:rsid w:val="00FC2CFE"/>
    <w:rsid w:val="00FC3BBC"/>
    <w:rsid w:val="00FC3EEB"/>
    <w:rsid w:val="00FC4313"/>
    <w:rsid w:val="00FC553E"/>
    <w:rsid w:val="00FC65A0"/>
    <w:rsid w:val="00FD09E3"/>
    <w:rsid w:val="00FD10D2"/>
    <w:rsid w:val="00FD1FCB"/>
    <w:rsid w:val="00FD2267"/>
    <w:rsid w:val="00FD282A"/>
    <w:rsid w:val="00FD2A71"/>
    <w:rsid w:val="00FD4CC0"/>
    <w:rsid w:val="00FD5CED"/>
    <w:rsid w:val="00FD5D2C"/>
    <w:rsid w:val="00FD6A3D"/>
    <w:rsid w:val="00FE22FE"/>
    <w:rsid w:val="00FE2912"/>
    <w:rsid w:val="00FE3983"/>
    <w:rsid w:val="00FE6F9E"/>
    <w:rsid w:val="00FE74FC"/>
    <w:rsid w:val="00FE761D"/>
    <w:rsid w:val="00FE76FA"/>
    <w:rsid w:val="00FF01C5"/>
    <w:rsid w:val="00FF1716"/>
    <w:rsid w:val="00FF2A88"/>
    <w:rsid w:val="00FF3ED0"/>
    <w:rsid w:val="00FF4542"/>
    <w:rsid w:val="00FF51D0"/>
    <w:rsid w:val="00FF52CC"/>
    <w:rsid w:val="00FF5D40"/>
    <w:rsid w:val="00FF7B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eastAsia="fr-FR"/>
    </w:rPr>
  </w:style>
  <w:style w:type="paragraph" w:styleId="Heading1">
    <w:name w:val="heading 1"/>
    <w:next w:val="Normal"/>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fr-FR"/>
    </w:rPr>
  </w:style>
  <w:style w:type="paragraph" w:styleId="Heading2">
    <w:name w:val="heading 2"/>
    <w:basedOn w:val="Heading1"/>
    <w:next w:val="Normal"/>
    <w:qFormat/>
    <w:rsid w:val="004951E8"/>
    <w:pPr>
      <w:pBdr>
        <w:top w:val="none" w:sz="0" w:space="0" w:color="auto"/>
      </w:pBdr>
      <w:spacing w:before="180"/>
      <w:outlineLvl w:val="1"/>
    </w:pPr>
    <w:rPr>
      <w:sz w:val="32"/>
    </w:rPr>
  </w:style>
  <w:style w:type="paragraph" w:styleId="Heading3">
    <w:name w:val="heading 3"/>
    <w:basedOn w:val="Heading2"/>
    <w:next w:val="Normal"/>
    <w:qFormat/>
    <w:rsid w:val="004951E8"/>
    <w:pPr>
      <w:spacing w:before="120"/>
      <w:outlineLvl w:val="2"/>
    </w:pPr>
    <w:rPr>
      <w:sz w:val="28"/>
    </w:rPr>
  </w:style>
  <w:style w:type="paragraph" w:styleId="Heading4">
    <w:name w:val="heading 4"/>
    <w:aliases w:val="h4"/>
    <w:basedOn w:val="Heading3"/>
    <w:next w:val="Normal"/>
    <w:qFormat/>
    <w:rsid w:val="004951E8"/>
    <w:pPr>
      <w:ind w:left="1418" w:hanging="1418"/>
      <w:outlineLvl w:val="3"/>
    </w:pPr>
    <w:rPr>
      <w:sz w:val="24"/>
    </w:rPr>
  </w:style>
  <w:style w:type="paragraph" w:styleId="Heading5">
    <w:name w:val="heading 5"/>
    <w:basedOn w:val="Heading4"/>
    <w:next w:val="Normal"/>
    <w:qFormat/>
    <w:rsid w:val="004951E8"/>
    <w:pPr>
      <w:ind w:left="1701" w:hanging="1701"/>
      <w:outlineLvl w:val="4"/>
    </w:pPr>
    <w:rPr>
      <w:sz w:val="22"/>
    </w:rPr>
  </w:style>
  <w:style w:type="paragraph" w:styleId="Heading6">
    <w:name w:val="heading 6"/>
    <w:basedOn w:val="H6"/>
    <w:next w:val="Normal"/>
    <w:qFormat/>
    <w:rsid w:val="004951E8"/>
    <w:pPr>
      <w:outlineLvl w:val="5"/>
    </w:pPr>
  </w:style>
  <w:style w:type="paragraph" w:styleId="Heading7">
    <w:name w:val="heading 7"/>
    <w:basedOn w:val="H6"/>
    <w:next w:val="Normal"/>
    <w:qFormat/>
    <w:rsid w:val="004951E8"/>
    <w:pPr>
      <w:outlineLvl w:val="6"/>
    </w:pPr>
  </w:style>
  <w:style w:type="paragraph" w:styleId="Heading8">
    <w:name w:val="heading 8"/>
    <w:basedOn w:val="Heading1"/>
    <w:next w:val="Normal"/>
    <w:qFormat/>
    <w:rsid w:val="004951E8"/>
    <w:pPr>
      <w:ind w:left="0" w:firstLine="0"/>
      <w:outlineLvl w:val="7"/>
    </w:pPr>
  </w:style>
  <w:style w:type="paragraph" w:styleId="Heading9">
    <w:name w:val="heading 9"/>
    <w:basedOn w:val="Heading8"/>
    <w:next w:val="Normal"/>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basedOn w:val="Normal"/>
    <w:semiHidden/>
    <w:rsid w:val="004951E8"/>
    <w:pPr>
      <w:keepLines/>
      <w:spacing w:after="0"/>
      <w:ind w:left="454" w:hanging="454"/>
    </w:pPr>
    <w:rPr>
      <w:sz w:val="16"/>
    </w:rPr>
  </w:style>
  <w:style w:type="paragraph" w:customStyle="1" w:styleId="TAH">
    <w:name w:val="TAH"/>
    <w:basedOn w:val="TAC"/>
    <w:rsid w:val="004951E8"/>
    <w:rPr>
      <w:b/>
    </w:rPr>
  </w:style>
  <w:style w:type="paragraph" w:customStyle="1" w:styleId="TAC">
    <w:name w:val="TAC"/>
    <w:basedOn w:val="TAL"/>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rsid w:val="004951E8"/>
    <w:pPr>
      <w:ind w:left="1985" w:hanging="1985"/>
      <w:outlineLvl w:val="9"/>
    </w:pPr>
    <w:rPr>
      <w:sz w:val="20"/>
    </w:rPr>
  </w:style>
  <w:style w:type="paragraph" w:customStyle="1" w:styleId="TAN">
    <w:name w:val="TAN"/>
    <w:basedOn w:val="TAL"/>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rsid w:val="00451304"/>
    <w:pPr>
      <w:spacing w:after="120"/>
    </w:pPr>
    <w:rPr>
      <w:rFonts w:ascii="Arial" w:hAnsi="Arial"/>
      <w:lang w:eastAsia="en-US"/>
    </w:rPr>
  </w:style>
  <w:style w:type="character" w:styleId="Hyperlink">
    <w:name w:val="Hyperlink"/>
    <w:basedOn w:val="DefaultParagraphFont"/>
    <w:rsid w:val="005274EA"/>
    <w:rPr>
      <w:color w:val="0000FF" w:themeColor="hyperlink"/>
      <w:u w:val="single"/>
    </w:rPr>
  </w:style>
  <w:style w:type="paragraph" w:styleId="ListParagraph">
    <w:name w:val="List Paragraph"/>
    <w:basedOn w:val="Normal"/>
    <w:uiPriority w:val="34"/>
    <w:qFormat/>
    <w:rsid w:val="005274EA"/>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eastAsia="fr-FR"/>
    </w:rPr>
  </w:style>
  <w:style w:type="paragraph" w:styleId="Heading1">
    <w:name w:val="heading 1"/>
    <w:next w:val="Normal"/>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fr-FR"/>
    </w:rPr>
  </w:style>
  <w:style w:type="paragraph" w:styleId="Heading2">
    <w:name w:val="heading 2"/>
    <w:basedOn w:val="Heading1"/>
    <w:next w:val="Normal"/>
    <w:qFormat/>
    <w:rsid w:val="004951E8"/>
    <w:pPr>
      <w:pBdr>
        <w:top w:val="none" w:sz="0" w:space="0" w:color="auto"/>
      </w:pBdr>
      <w:spacing w:before="180"/>
      <w:outlineLvl w:val="1"/>
    </w:pPr>
    <w:rPr>
      <w:sz w:val="32"/>
    </w:rPr>
  </w:style>
  <w:style w:type="paragraph" w:styleId="Heading3">
    <w:name w:val="heading 3"/>
    <w:basedOn w:val="Heading2"/>
    <w:next w:val="Normal"/>
    <w:qFormat/>
    <w:rsid w:val="004951E8"/>
    <w:pPr>
      <w:spacing w:before="120"/>
      <w:outlineLvl w:val="2"/>
    </w:pPr>
    <w:rPr>
      <w:sz w:val="28"/>
    </w:rPr>
  </w:style>
  <w:style w:type="paragraph" w:styleId="Heading4">
    <w:name w:val="heading 4"/>
    <w:aliases w:val="h4"/>
    <w:basedOn w:val="Heading3"/>
    <w:next w:val="Normal"/>
    <w:qFormat/>
    <w:rsid w:val="004951E8"/>
    <w:pPr>
      <w:ind w:left="1418" w:hanging="1418"/>
      <w:outlineLvl w:val="3"/>
    </w:pPr>
    <w:rPr>
      <w:sz w:val="24"/>
    </w:rPr>
  </w:style>
  <w:style w:type="paragraph" w:styleId="Heading5">
    <w:name w:val="heading 5"/>
    <w:basedOn w:val="Heading4"/>
    <w:next w:val="Normal"/>
    <w:qFormat/>
    <w:rsid w:val="004951E8"/>
    <w:pPr>
      <w:ind w:left="1701" w:hanging="1701"/>
      <w:outlineLvl w:val="4"/>
    </w:pPr>
    <w:rPr>
      <w:sz w:val="22"/>
    </w:rPr>
  </w:style>
  <w:style w:type="paragraph" w:styleId="Heading6">
    <w:name w:val="heading 6"/>
    <w:basedOn w:val="H6"/>
    <w:next w:val="Normal"/>
    <w:qFormat/>
    <w:rsid w:val="004951E8"/>
    <w:pPr>
      <w:outlineLvl w:val="5"/>
    </w:pPr>
  </w:style>
  <w:style w:type="paragraph" w:styleId="Heading7">
    <w:name w:val="heading 7"/>
    <w:basedOn w:val="H6"/>
    <w:next w:val="Normal"/>
    <w:qFormat/>
    <w:rsid w:val="004951E8"/>
    <w:pPr>
      <w:outlineLvl w:val="6"/>
    </w:pPr>
  </w:style>
  <w:style w:type="paragraph" w:styleId="Heading8">
    <w:name w:val="heading 8"/>
    <w:basedOn w:val="Heading1"/>
    <w:next w:val="Normal"/>
    <w:qFormat/>
    <w:rsid w:val="004951E8"/>
    <w:pPr>
      <w:ind w:left="0" w:firstLine="0"/>
      <w:outlineLvl w:val="7"/>
    </w:pPr>
  </w:style>
  <w:style w:type="paragraph" w:styleId="Heading9">
    <w:name w:val="heading 9"/>
    <w:basedOn w:val="Heading8"/>
    <w:next w:val="Normal"/>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basedOn w:val="Normal"/>
    <w:semiHidden/>
    <w:rsid w:val="004951E8"/>
    <w:pPr>
      <w:keepLines/>
      <w:spacing w:after="0"/>
      <w:ind w:left="454" w:hanging="454"/>
    </w:pPr>
    <w:rPr>
      <w:sz w:val="16"/>
    </w:rPr>
  </w:style>
  <w:style w:type="paragraph" w:customStyle="1" w:styleId="TAH">
    <w:name w:val="TAH"/>
    <w:basedOn w:val="TAC"/>
    <w:rsid w:val="004951E8"/>
    <w:rPr>
      <w:b/>
    </w:rPr>
  </w:style>
  <w:style w:type="paragraph" w:customStyle="1" w:styleId="TAC">
    <w:name w:val="TAC"/>
    <w:basedOn w:val="TAL"/>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rsid w:val="004951E8"/>
    <w:pPr>
      <w:ind w:left="1985" w:hanging="1985"/>
      <w:outlineLvl w:val="9"/>
    </w:pPr>
    <w:rPr>
      <w:sz w:val="20"/>
    </w:rPr>
  </w:style>
  <w:style w:type="paragraph" w:customStyle="1" w:styleId="TAN">
    <w:name w:val="TAN"/>
    <w:basedOn w:val="TAL"/>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rsid w:val="00451304"/>
    <w:pPr>
      <w:spacing w:after="120"/>
    </w:pPr>
    <w:rPr>
      <w:rFonts w:ascii="Arial" w:hAnsi="Arial"/>
      <w:lang w:eastAsia="en-US"/>
    </w:rPr>
  </w:style>
  <w:style w:type="character" w:styleId="Hyperlink">
    <w:name w:val="Hyperlink"/>
    <w:basedOn w:val="DefaultParagraphFont"/>
    <w:rsid w:val="005274EA"/>
    <w:rPr>
      <w:color w:val="0000FF" w:themeColor="hyperlink"/>
      <w:u w:val="single"/>
    </w:rPr>
  </w:style>
  <w:style w:type="paragraph" w:styleId="ListParagraph">
    <w:name w:val="List Paragraph"/>
    <w:basedOn w:val="Normal"/>
    <w:uiPriority w:val="34"/>
    <w:qFormat/>
    <w:rsid w:val="005274EA"/>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portal.etsi.org/Portals/0/TBpages/MEC/Docs/Mobile-edge_Computing_-_Introductory_Technical_White_Paper_V1%2018-09-14.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portal.etsi.org/tb.aspx?tbid=826&amp;SubTB=82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1610</Words>
  <Characters>9183</Characters>
  <Application>Microsoft Office Word</Application>
  <DocSecurity>0</DocSecurity>
  <Lines>76</Lines>
  <Paragraphs>21</Paragraphs>
  <ScaleCrop>false</ScaleCrop>
  <Company/>
  <LinksUpToDate>false</LinksUpToDate>
  <CharactersWithSpaces>10772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2014-10-22T16:55:00Z</dcterms:created>
  <dcterms:modified xsi:type="dcterms:W3CDTF">2014-10-22T16:55:00Z</dcterms:modified>
</cp:coreProperties>
</file>